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media/image2.jpeg" ContentType="image/jpeg"/>
  <Override PartName="/word/media/image3.jpeg" ContentType="image/jpeg"/>
  <Override PartName="/word/media/image4.jpeg" ContentType="image/jpeg"/>
  <Override PartName="/word/media/image5.jpeg" ContentType="image/jpeg"/>
  <Override PartName="/word/media/image10.jpeg" ContentType="image/jpeg"/>
  <Override PartName="/word/media/image6.png" ContentType="image/png"/>
  <Override PartName="/word/media/image7.jpeg" ContentType="image/jpeg"/>
  <Override PartName="/word/media/image8.jpeg" ContentType="image/jpeg"/>
  <Override PartName="/word/media/image9.jpeg" ContentType="image/jpeg"/>
  <Override PartName="/word/media/image11.jpeg" ContentType="image/jpe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jc w:val="center"/>
        <w:rPr>
          <w:rFonts w:ascii="Cambria" w:hAnsi="Cambria" w:asciiTheme="majorHAnsi" w:hAnsiTheme="majorHAnsi"/>
          <w:sz w:val="48"/>
          <w:szCs w:val="48"/>
          <w:u w:val="single"/>
        </w:rPr>
      </w:pPr>
      <w:r>
        <w:rPr>
          <w:rFonts w:ascii="Cambria" w:hAnsi="Cambria" w:asciiTheme="majorHAnsi" w:hAnsiTheme="majorHAnsi"/>
          <w:sz w:val="48"/>
          <w:szCs w:val="48"/>
          <w:u w:val="single"/>
        </w:rPr>
        <w:t>Нов български университет</w:t>
      </w:r>
    </w:p>
    <w:p>
      <w:pPr>
        <w:pStyle w:val="Normal"/>
        <w:spacing w:before="0" w:after="0"/>
        <w:jc w:val="center"/>
        <w:rPr>
          <w:rFonts w:ascii="Cambria" w:hAnsi="Cambria" w:asciiTheme="majorHAnsi" w:hAnsiTheme="majorHAnsi"/>
          <w:sz w:val="48"/>
          <w:szCs w:val="48"/>
        </w:rPr>
      </w:pPr>
      <w:r>
        <w:rPr>
          <w:rFonts w:asciiTheme="majorHAnsi" w:hAnsiTheme="majorHAnsi" w:ascii="Cambria" w:hAnsi="Cambria"/>
          <w:sz w:val="48"/>
          <w:szCs w:val="48"/>
        </w:rPr>
      </w:r>
    </w:p>
    <w:p>
      <w:pPr>
        <w:pStyle w:val="Normal"/>
        <w:spacing w:before="0" w:after="0"/>
        <w:jc w:val="center"/>
        <w:rPr>
          <w:rFonts w:ascii="Cambria" w:hAnsi="Cambria" w:asciiTheme="majorHAnsi" w:hAnsiTheme="majorHAnsi"/>
          <w:sz w:val="28"/>
          <w:szCs w:val="28"/>
        </w:rPr>
      </w:pPr>
      <w:r>
        <w:rPr>
          <w:rFonts w:ascii="Cambria" w:hAnsi="Cambria" w:asciiTheme="majorHAnsi" w:hAnsiTheme="majorHAnsi"/>
          <w:sz w:val="28"/>
          <w:szCs w:val="28"/>
        </w:rPr>
        <w:t>Факултет „Естествени науки”</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Cambria" w:hAnsi="Cambria" w:eastAsia="Times New Roman" w:cs="Courier New" w:asciiTheme="majorHAnsi" w:hAnsiTheme="majorHAnsi"/>
          <w:sz w:val="28"/>
          <w:szCs w:val="28"/>
          <w:lang w:eastAsia="bg-BG"/>
        </w:rPr>
      </w:pPr>
      <w:r>
        <w:rPr>
          <w:rFonts w:eastAsia="Times New Roman" w:cs="Courier New" w:ascii="Cambria" w:hAnsi="Cambria" w:asciiTheme="majorHAnsi" w:hAnsiTheme="majorHAnsi"/>
          <w:sz w:val="28"/>
          <w:szCs w:val="28"/>
          <w:lang w:eastAsia="bg-BG"/>
        </w:rPr>
        <w:t>Модул</w:t>
      </w:r>
      <w:r>
        <w:rPr>
          <w:rFonts w:eastAsia="Times New Roman" w:cs="Courier New" w:ascii="Cambria" w:hAnsi="Cambria" w:asciiTheme="majorHAnsi" w:hAnsiTheme="majorHAnsi"/>
          <w:sz w:val="28"/>
          <w:szCs w:val="28"/>
          <w:lang w:val="en-US" w:eastAsia="bg-BG"/>
        </w:rPr>
        <w:t xml:space="preserve"> “</w:t>
      </w:r>
      <w:r>
        <w:rPr>
          <w:rFonts w:eastAsia="Times New Roman" w:cs="Courier New" w:ascii="Cambria" w:hAnsi="Cambria" w:asciiTheme="majorHAnsi" w:hAnsiTheme="majorHAnsi"/>
          <w:sz w:val="28"/>
          <w:szCs w:val="28"/>
          <w:lang w:eastAsia="bg-BG"/>
        </w:rPr>
        <w:t xml:space="preserve"> Екология и опазване на околната среда”</w:t>
      </w:r>
    </w:p>
    <w:p>
      <w:pPr>
        <w:pStyle w:val="Normal"/>
        <w:spacing w:before="0" w:after="0"/>
        <w:jc w:val="center"/>
        <w:rPr>
          <w:rFonts w:ascii="Cambria" w:hAnsi="Cambria" w:asciiTheme="majorHAnsi" w:hAnsiTheme="majorHAnsi"/>
          <w:sz w:val="36"/>
          <w:szCs w:val="36"/>
          <w:lang w:val="en-US"/>
        </w:rPr>
      </w:pPr>
      <w:r>
        <w:rPr>
          <w:rFonts w:asciiTheme="majorHAnsi" w:hAnsiTheme="majorHAnsi" w:ascii="Cambria" w:hAnsi="Cambria"/>
          <w:sz w:val="36"/>
          <w:szCs w:val="36"/>
          <w:lang w:val="en-US"/>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28"/>
          <w:szCs w:val="28"/>
        </w:rPr>
      </w:pPr>
      <w:r>
        <w:rPr>
          <w:rFonts w:asciiTheme="majorHAnsi" w:hAnsiTheme="majorHAnsi" w:ascii="Cambria" w:hAnsi="Cambria"/>
          <w:sz w:val="28"/>
          <w:szCs w:val="28"/>
        </w:rPr>
      </w:r>
    </w:p>
    <w:p>
      <w:pPr>
        <w:pStyle w:val="Normal"/>
        <w:jc w:val="center"/>
        <w:rPr>
          <w:rFonts w:ascii="Cambria" w:hAnsi="Cambria" w:asciiTheme="majorHAnsi" w:hAnsiTheme="majorHAnsi"/>
          <w:sz w:val="28"/>
          <w:szCs w:val="28"/>
        </w:rPr>
      </w:pPr>
      <w:r>
        <w:rPr>
          <w:rFonts w:ascii="Cambria" w:hAnsi="Cambria" w:asciiTheme="majorHAnsi" w:hAnsiTheme="majorHAnsi"/>
          <w:sz w:val="28"/>
          <w:szCs w:val="28"/>
        </w:rPr>
        <w:t>Тема:</w:t>
      </w:r>
    </w:p>
    <w:p>
      <w:pPr>
        <w:pStyle w:val="1"/>
        <w:numPr>
          <w:ilvl w:val="0"/>
          <w:numId w:val="0"/>
        </w:numPr>
        <w:ind w:left="0" w:hanging="0"/>
        <w:jc w:val="center"/>
        <w:rPr>
          <w:rFonts w:ascii="Arial" w:hAnsi="Arial" w:cs="Arial"/>
          <w:b/>
          <w:b/>
          <w:i/>
          <w:i/>
          <w:iCs/>
          <w:sz w:val="36"/>
          <w:szCs w:val="36"/>
        </w:rPr>
      </w:pPr>
      <w:r>
        <w:rPr>
          <w:rFonts w:ascii="Cambria" w:hAnsi="Cambria" w:asciiTheme="majorHAnsi" w:hAnsiTheme="majorHAnsi"/>
          <w:sz w:val="36"/>
          <w:szCs w:val="36"/>
        </w:rPr>
        <w:t>„</w:t>
      </w:r>
      <w:r>
        <w:rPr>
          <w:rStyle w:val="Emphasis"/>
          <w:rFonts w:cs="Arial" w:ascii="Arial" w:hAnsi="Arial"/>
          <w:b/>
          <w:sz w:val="36"/>
          <w:szCs w:val="36"/>
        </w:rPr>
        <w:t>Устойчивото управление</w:t>
      </w:r>
      <w:r>
        <w:rPr>
          <w:rStyle w:val="Emphasis"/>
          <w:rFonts w:cs="Arial" w:ascii="Arial" w:hAnsi="Arial"/>
          <w:b/>
          <w:sz w:val="36"/>
          <w:szCs w:val="36"/>
          <w:lang w:val="en-US"/>
        </w:rPr>
        <w:t xml:space="preserve"> </w:t>
      </w:r>
      <w:r>
        <w:rPr>
          <w:rStyle w:val="Emphasis"/>
          <w:rFonts w:cs="Arial" w:ascii="Arial" w:hAnsi="Arial"/>
          <w:b/>
          <w:sz w:val="36"/>
          <w:szCs w:val="36"/>
        </w:rPr>
        <w:t>на отпадъците. Рециклиране</w:t>
      </w:r>
      <w:r>
        <w:rPr>
          <w:rFonts w:ascii="Cambria" w:hAnsi="Cambria" w:asciiTheme="majorHAnsi" w:hAnsiTheme="majorHAnsi"/>
          <w:sz w:val="36"/>
          <w:szCs w:val="36"/>
        </w:rPr>
        <w:t>”</w:t>
      </w:r>
      <w:bookmarkStart w:id="0" w:name="_GoBack"/>
      <w:bookmarkEnd w:id="0"/>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jc w:val="center"/>
        <w:rPr>
          <w:rFonts w:ascii="Cambria" w:hAnsi="Cambria" w:asciiTheme="majorHAnsi" w:hAnsiTheme="majorHAnsi"/>
          <w:sz w:val="36"/>
          <w:szCs w:val="36"/>
        </w:rPr>
      </w:pPr>
      <w:r>
        <w:rPr>
          <w:rFonts w:asciiTheme="majorHAnsi" w:hAnsiTheme="majorHAnsi" w:ascii="Cambria" w:hAnsi="Cambria"/>
          <w:sz w:val="36"/>
          <w:szCs w:val="36"/>
        </w:rPr>
      </w:r>
    </w:p>
    <w:p>
      <w:pPr>
        <w:pStyle w:val="Normal"/>
        <w:rPr>
          <w:rFonts w:ascii="Cambria" w:hAnsi="Cambria" w:asciiTheme="majorHAnsi" w:hAnsiTheme="majorHAnsi"/>
          <w:sz w:val="28"/>
          <w:szCs w:val="28"/>
        </w:rPr>
      </w:pPr>
      <w:r>
        <w:rPr>
          <w:rFonts w:ascii="Cambria" w:hAnsi="Cambria" w:asciiTheme="majorHAnsi" w:hAnsiTheme="majorHAnsi"/>
          <w:sz w:val="28"/>
          <w:szCs w:val="28"/>
        </w:rPr>
        <w:t>Изготвил:</w:t>
      </w:r>
    </w:p>
    <w:p>
      <w:pPr>
        <w:pStyle w:val="Normal"/>
        <w:rPr>
          <w:rStyle w:val="Emphasis"/>
          <w:rFonts w:ascii="Cambria" w:hAnsi="Cambria" w:asciiTheme="majorHAnsi" w:hAnsiTheme="majorHAnsi"/>
          <w:i w:val="false"/>
          <w:i w:val="false"/>
          <w:iCs w:val="false"/>
          <w:sz w:val="28"/>
          <w:szCs w:val="28"/>
        </w:rPr>
      </w:pPr>
      <w:r>
        <w:rPr>
          <w:rFonts w:ascii="Cambria" w:hAnsi="Cambria" w:asciiTheme="majorHAnsi" w:hAnsiTheme="majorHAnsi"/>
          <w:sz w:val="28"/>
          <w:szCs w:val="28"/>
        </w:rPr>
        <w:t xml:space="preserve">Дарина Георгиева Георгиева,  </w:t>
      </w:r>
      <w:r>
        <w:rPr>
          <w:rFonts w:ascii="Cambria" w:hAnsi="Cambria" w:asciiTheme="majorHAnsi" w:hAnsiTheme="majorHAnsi"/>
          <w:sz w:val="28"/>
          <w:szCs w:val="28"/>
          <w:lang w:val="en-US"/>
        </w:rPr>
        <w:t>F3</w:t>
      </w:r>
      <w:r>
        <w:rPr>
          <w:rFonts w:ascii="Cambria" w:hAnsi="Cambria" w:asciiTheme="majorHAnsi" w:hAnsiTheme="majorHAnsi"/>
          <w:sz w:val="28"/>
          <w:szCs w:val="28"/>
        </w:rPr>
        <w:t>64</w:t>
      </w:r>
      <w:r>
        <w:rPr>
          <w:rFonts w:ascii="Cambria" w:hAnsi="Cambria" w:asciiTheme="majorHAnsi" w:hAnsiTheme="majorHAnsi"/>
          <w:sz w:val="28"/>
          <w:szCs w:val="28"/>
          <w:lang w:val="en-US"/>
        </w:rPr>
        <w:t>9</w:t>
      </w:r>
      <w:r>
        <w:rPr>
          <w:rFonts w:ascii="Cambria" w:hAnsi="Cambria" w:asciiTheme="majorHAnsi" w:hAnsiTheme="majorHAnsi"/>
          <w:sz w:val="28"/>
          <w:szCs w:val="28"/>
        </w:rPr>
        <w:t>5</w:t>
      </w:r>
    </w:p>
    <w:p>
      <w:pPr>
        <w:pStyle w:val="1"/>
        <w:numPr>
          <w:ilvl w:val="0"/>
          <w:numId w:val="0"/>
        </w:numPr>
        <w:ind w:left="0" w:hanging="0"/>
        <w:rPr>
          <w:rStyle w:val="Emphasis"/>
          <w:b/>
          <w:b/>
        </w:rPr>
      </w:pPr>
      <w:r>
        <w:rPr>
          <w:rStyle w:val="Emphasis"/>
          <w:b/>
          <w:lang w:val="en-US"/>
        </w:rPr>
        <w:t>I.</w:t>
      </w:r>
      <w:r>
        <w:rPr>
          <w:rStyle w:val="Emphasis"/>
          <w:b/>
        </w:rPr>
        <w:t>Увод</w:t>
      </w:r>
    </w:p>
    <w:p>
      <w:pPr>
        <w:pStyle w:val="Quote"/>
        <w:spacing w:lineRule="auto" w:line="240"/>
        <w:rPr>
          <w:rStyle w:val="Emphasis"/>
        </w:rPr>
      </w:pPr>
      <w:r>
        <w:rPr>
          <w:rStyle w:val="Emphasis"/>
        </w:rPr>
        <w:t>Устойчивото управление на непрестанно растящите количества отпадъци е едно от най-сериозните предизвикателства пред съвременните общества. Паралелно с нарастването на обема генерирани отпадъци , нарастват и тяхното разнообразие, сложност, токсичност и свързаните с това трудности и разходи по обезвреждането им.</w:t>
      </w:r>
    </w:p>
    <w:p>
      <w:pPr>
        <w:pStyle w:val="Quote"/>
        <w:spacing w:lineRule="auto" w:line="240"/>
        <w:rPr>
          <w:rStyle w:val="Emphasis"/>
        </w:rPr>
      </w:pPr>
      <w:r>
        <w:rPr>
          <w:rStyle w:val="Emphasis"/>
        </w:rPr>
        <w:t xml:space="preserve">Същевременно, традиционните методи и технологии като депониране или изгаряне се оказват скъпи,  неефективни, неустойчиви и доста често – опасни за човешкото здраве, което налага търсенето на алтернативни подходи за  решаване на проблема с отпадъците. </w:t>
      </w:r>
    </w:p>
    <w:p>
      <w:pPr>
        <w:pStyle w:val="Quote"/>
        <w:spacing w:lineRule="auto" w:line="240"/>
        <w:rPr>
          <w:rStyle w:val="Emphasis"/>
        </w:rPr>
      </w:pPr>
      <w:r>
        <w:rPr>
          <w:rStyle w:val="Emphasis"/>
        </w:rPr>
        <w:t>От друга страна , нарастващата глобална консумация води до все по-сериозна криза и конфликти за ограничените ресурси на планетата , което изисква преосмисляне на еднопосочният поток на материалите (от производство към сметищата) . широко разпространен днес.</w:t>
      </w:r>
    </w:p>
    <w:p>
      <w:pPr>
        <w:pStyle w:val="Quote"/>
        <w:spacing w:lineRule="auto" w:line="240"/>
        <w:rPr>
          <w:rStyle w:val="Emphasis"/>
        </w:rPr>
      </w:pPr>
      <w:r>
        <w:rPr>
          <w:rStyle w:val="Emphasis"/>
        </w:rPr>
        <w:t>Поради големите разходи и растяща обществена съпротива , свързани с отреждането на терени и строителство на депа или инсинератори, навсякъде по света правителства, общности и компании се насочват към по-разумен подход от икономическа и екологична гледна точка , свързан с намаляване на обема генерирани отпадъци, които се налага на бъдат обезвреждани.</w:t>
      </w:r>
    </w:p>
    <w:p>
      <w:pPr>
        <w:pStyle w:val="Quote"/>
        <w:spacing w:lineRule="auto" w:line="240"/>
        <w:rPr>
          <w:rStyle w:val="Emphasis"/>
        </w:rPr>
      </w:pPr>
      <w:r>
        <w:rPr/>
      </w:r>
    </w:p>
    <w:p>
      <w:pPr>
        <w:pStyle w:val="1"/>
        <w:numPr>
          <w:ilvl w:val="0"/>
          <w:numId w:val="0"/>
        </w:numPr>
        <w:ind w:left="0" w:hanging="0"/>
        <w:rPr>
          <w:rStyle w:val="Emphasis"/>
          <w:b/>
          <w:b/>
          <w:lang w:val="en-US"/>
        </w:rPr>
      </w:pPr>
      <w:r>
        <w:rPr>
          <w:rStyle w:val="Emphasis"/>
          <w:b/>
          <w:lang w:val="en-US"/>
        </w:rPr>
        <w:t xml:space="preserve">II. </w:t>
      </w:r>
      <w:r>
        <w:rPr>
          <w:rStyle w:val="Emphasis"/>
          <w:b/>
        </w:rPr>
        <w:t>Йерархия и съществуващи практики при управление на отпадъците в ЕС и България</w:t>
      </w:r>
    </w:p>
    <w:p>
      <w:pPr>
        <w:pStyle w:val="Quote"/>
        <w:spacing w:lineRule="auto" w:line="240"/>
        <w:rPr>
          <w:rStyle w:val="Emphasis"/>
        </w:rPr>
      </w:pPr>
      <w:r>
        <w:rPr>
          <w:rStyle w:val="Emphasis"/>
        </w:rPr>
        <w:t>1.Европейска йерархия при управление на отпадъците - служи като обща насока и определя следните основни направления:</w:t>
      </w:r>
    </w:p>
    <w:p>
      <w:pPr>
        <w:pStyle w:val="Quote"/>
        <w:spacing w:lineRule="auto" w:line="240"/>
        <w:rPr>
          <w:rStyle w:val="Emphasis"/>
        </w:rPr>
      </w:pPr>
      <w:r>
        <w:rPr>
          <w:rStyle w:val="Emphasis"/>
        </w:rPr>
        <w:t xml:space="preserve">А. Предотвратяване на образуването на отпадъци </w:t>
      </w:r>
    </w:p>
    <w:p>
      <w:pPr>
        <w:pStyle w:val="Quote"/>
        <w:spacing w:lineRule="auto" w:line="240"/>
        <w:rPr>
          <w:rStyle w:val="Emphasis"/>
        </w:rPr>
      </w:pPr>
      <w:r>
        <w:rPr>
          <w:rStyle w:val="Emphasis"/>
        </w:rPr>
        <w:t>Б.Минимизиране на количеството на образуване на отпадъци и особено намаляване на количествата на генерираните отпадъци с опасни свойства.</w:t>
      </w:r>
    </w:p>
    <w:p>
      <w:pPr>
        <w:pStyle w:val="Quote"/>
        <w:spacing w:lineRule="auto" w:line="240"/>
        <w:rPr>
          <w:rStyle w:val="Emphasis"/>
        </w:rPr>
      </w:pPr>
      <w:r>
        <w:rPr>
          <w:rStyle w:val="Emphasis"/>
        </w:rPr>
        <w:t>В.Повторна употреба – използване на продукти и изделия или  на части от тях отново за същите или други цели</w:t>
      </w:r>
    </w:p>
    <w:p>
      <w:pPr>
        <w:pStyle w:val="Quote"/>
        <w:spacing w:lineRule="auto" w:line="240"/>
        <w:rPr>
          <w:rStyle w:val="Emphasis"/>
        </w:rPr>
      </w:pPr>
      <w:r>
        <w:rPr>
          <w:rStyle w:val="Emphasis"/>
        </w:rPr>
        <w:t>Г.Рециклиране – преработване на компоненти от отпадъците за производството на същият или различен продукт</w:t>
      </w:r>
    </w:p>
    <w:p>
      <w:pPr>
        <w:pStyle w:val="Quote"/>
        <w:spacing w:lineRule="auto" w:line="240"/>
        <w:rPr>
          <w:rStyle w:val="Emphasis"/>
        </w:rPr>
      </w:pPr>
      <w:r>
        <w:rPr>
          <w:rStyle w:val="Emphasis"/>
        </w:rPr>
        <w:t>Д.Оползотворяване –извличане на полза от отпадъците чрез прилагане на специфични технологии като компостиране , получаване на енергия или прилагане на интегриран подход на третиране с цел реализиране на няколко ползи – възстановяване на суровинен и енергиен ресурс</w:t>
      </w:r>
    </w:p>
    <w:p>
      <w:pPr>
        <w:pStyle w:val="Quote"/>
        <w:spacing w:lineRule="auto" w:line="240"/>
        <w:rPr>
          <w:rStyle w:val="Emphasis"/>
        </w:rPr>
      </w:pPr>
      <w:r>
        <w:rPr>
          <w:rStyle w:val="Emphasis"/>
        </w:rPr>
        <w:t>Е.Депониране – този начин на третиране следва да се прилага  едва когато са изчерпани всички други възможности за третиране и за случая няма друго подходящо решение</w:t>
      </w:r>
    </w:p>
    <w:p>
      <w:pPr>
        <w:pStyle w:val="Quote"/>
        <w:spacing w:lineRule="auto" w:line="240"/>
        <w:rPr>
          <w:rStyle w:val="Emphasis"/>
        </w:rPr>
      </w:pPr>
      <w:r>
        <w:rPr/>
        <mc:AlternateContent>
          <mc:Choice Requires="wpg">
            <w:drawing>
              <wp:inline distT="0" distB="0" distL="0" distR="6350">
                <wp:extent cx="4032885" cy="3601085"/>
                <wp:effectExtent l="0" t="0" r="6350" b="0"/>
                <wp:docPr id="1" name="Group 12"/>
                <a:graphic xmlns:a="http://schemas.openxmlformats.org/drawingml/2006/main">
                  <a:graphicData uri="http://schemas.microsoft.com/office/word/2010/wordprocessingGroup">
                    <lc:lockedCanvas xmlns:lc="http://schemas.openxmlformats.org/drawingml/2006/lockedCanvas">
                      <wpg:wgp>
                        <wpg:cNvGrpSpPr/>
                        <wpg:grpSpPr>
                          <a:xfrm>
                            <a:off x="0" y="0"/>
                            <a:ext cx="4032360" cy="3600360"/>
                            <a:chOff x="0" y="-3601080"/>
                            <a:chExt cx="4032360" cy="3600360"/>
                          </a:xfrm>
                        </wpg:grpSpPr>
                        <wps:wsp>
                          <wps:cNvSpPr/>
                          <wps:spPr>
                            <a:xfrm>
                              <a:off x="383040" y="0"/>
                              <a:ext cx="3618720" cy="403200"/>
                            </a:xfrm>
                            <a:prstGeom prst="rect">
                              <a:avLst/>
                            </a:prstGeom>
                            <a:solidFill>
                              <a:srgbClr val="009900"/>
                            </a:solidFill>
                            <a:ln w="9525">
                              <a:solidFill>
                                <a:srgbClr val="000000"/>
                              </a:solidFill>
                              <a:miter/>
                            </a:ln>
                          </wps:spPr>
                          <wps:style>
                            <a:lnRef idx="0"/>
                            <a:fillRef idx="0"/>
                            <a:effectRef idx="0"/>
                            <a:fontRef idx="minor"/>
                          </wps:style>
                          <wps:txb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Предотвратяване</w:t>
                                </w:r>
                              </w:p>
                            </w:txbxContent>
                          </wps:txbx>
                          <wps:bodyPr lIns="90000" rIns="90000" tIns="45000" bIns="45000" anchor="t">
                            <a:noAutofit/>
                          </wps:bodyPr>
                        </wps:wsp>
                        <wps:wsp>
                          <wps:cNvSpPr/>
                          <wps:spPr>
                            <a:xfrm>
                              <a:off x="405720" y="529560"/>
                              <a:ext cx="3617640" cy="402120"/>
                            </a:xfrm>
                            <a:prstGeom prst="rect">
                              <a:avLst/>
                            </a:prstGeom>
                            <a:solidFill>
                              <a:srgbClr val="669900"/>
                            </a:solidFill>
                            <a:ln w="9525">
                              <a:solidFill>
                                <a:srgbClr val="000000"/>
                              </a:solidFill>
                              <a:miter/>
                            </a:ln>
                          </wps:spPr>
                          <wps:style>
                            <a:lnRef idx="0"/>
                            <a:fillRef idx="0"/>
                            <a:effectRef idx="0"/>
                            <a:fontRef idx="minor"/>
                          </wps:style>
                          <wps:txb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Повторна употреба</w:t>
                                </w:r>
                              </w:p>
                            </w:txbxContent>
                          </wps:txbx>
                          <wps:bodyPr lIns="90000" rIns="90000" tIns="45000" bIns="45000" anchor="t">
                            <a:noAutofit/>
                          </wps:bodyPr>
                        </wps:wsp>
                        <wps:wsp>
                          <wps:cNvSpPr/>
                          <wps:spPr>
                            <a:xfrm>
                              <a:off x="405720" y="1580040"/>
                              <a:ext cx="3618720" cy="912960"/>
                            </a:xfrm>
                            <a:prstGeom prst="rect">
                              <a:avLst/>
                            </a:prstGeom>
                            <a:solidFill>
                              <a:srgbClr val="cccc00"/>
                            </a:solidFill>
                            <a:ln w="9525">
                              <a:solidFill>
                                <a:srgbClr val="000000"/>
                              </a:solidFill>
                              <a:miter/>
                            </a:ln>
                          </wps:spPr>
                          <wps:style>
                            <a:lnRef idx="0"/>
                            <a:fillRef idx="0"/>
                            <a:effectRef idx="0"/>
                            <a:fontRef idx="minor"/>
                          </wps:style>
                          <wps:txb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Изгаряне с оползотворяване на енергия</w:t>
                                </w:r>
                              </w:p>
                            </w:txbxContent>
                          </wps:txbx>
                          <wps:bodyPr lIns="90000" rIns="90000" tIns="45000" bIns="45000" anchor="t">
                            <a:noAutofit/>
                          </wps:bodyPr>
                        </wps:wsp>
                        <wps:wsp>
                          <wps:cNvSpPr/>
                          <wps:spPr>
                            <a:xfrm>
                              <a:off x="405720" y="1053360"/>
                              <a:ext cx="3617640" cy="403200"/>
                            </a:xfrm>
                            <a:prstGeom prst="rect">
                              <a:avLst/>
                            </a:prstGeom>
                            <a:solidFill>
                              <a:srgbClr val="99cc00"/>
                            </a:solidFill>
                            <a:ln w="9525">
                              <a:solidFill>
                                <a:srgbClr val="000000"/>
                              </a:solidFill>
                              <a:miter/>
                            </a:ln>
                          </wps:spPr>
                          <wps:style>
                            <a:lnRef idx="0"/>
                            <a:fillRef idx="0"/>
                            <a:effectRef idx="0"/>
                            <a:fontRef idx="minor"/>
                          </wps:style>
                          <wps:txb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Рециклиране/оползотворяване</w:t>
                                </w:r>
                              </w:p>
                            </w:txbxContent>
                          </wps:txbx>
                          <wps:bodyPr lIns="90000" rIns="90000" tIns="45000" bIns="45000" anchor="t">
                            <a:noAutofit/>
                          </wps:bodyPr>
                        </wps:wsp>
                        <wps:wsp>
                          <wps:cNvSpPr/>
                          <wps:spPr>
                            <a:xfrm>
                              <a:off x="412920" y="2647440"/>
                              <a:ext cx="3617640" cy="402120"/>
                            </a:xfrm>
                            <a:prstGeom prst="rect">
                              <a:avLst/>
                            </a:prstGeom>
                            <a:solidFill>
                              <a:srgbClr val="cc9900"/>
                            </a:solidFill>
                            <a:ln w="9525">
                              <a:solidFill>
                                <a:srgbClr val="000000"/>
                              </a:solidFill>
                              <a:miter/>
                            </a:ln>
                          </wps:spPr>
                          <wps:style>
                            <a:lnRef idx="0"/>
                            <a:fillRef idx="0"/>
                            <a:effectRef idx="0"/>
                            <a:fontRef idx="minor"/>
                          </wps:style>
                          <wps:txb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Изгаряне</w:t>
                                </w:r>
                              </w:p>
                            </w:txbxContent>
                          </wps:txbx>
                          <wps:bodyPr lIns="90000" rIns="90000" tIns="45000" bIns="45000" anchor="t">
                            <a:noAutofit/>
                          </wps:bodyPr>
                        </wps:wsp>
                        <wps:wsp>
                          <wps:cNvSpPr/>
                          <wps:spPr>
                            <a:xfrm>
                              <a:off x="420480" y="3198960"/>
                              <a:ext cx="3611880" cy="401400"/>
                            </a:xfrm>
                            <a:prstGeom prst="rect">
                              <a:avLst/>
                            </a:prstGeom>
                            <a:solidFill>
                              <a:srgbClr val="996600"/>
                            </a:solidFill>
                            <a:ln w="9525">
                              <a:solidFill>
                                <a:srgbClr val="000000"/>
                              </a:solidFill>
                              <a:miter/>
                            </a:ln>
                          </wps:spPr>
                          <wps:style>
                            <a:lnRef idx="0"/>
                            <a:fillRef idx="0"/>
                            <a:effectRef idx="0"/>
                            <a:fontRef idx="minor"/>
                          </wps:style>
                          <wps:txb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Депониране</w:t>
                                </w:r>
                              </w:p>
                            </w:txbxContent>
                          </wps:txbx>
                          <wps:bodyPr lIns="90000" rIns="90000" tIns="45000" bIns="45000" anchor="t">
                            <a:noAutofit/>
                          </wps:bodyPr>
                        </wps:wsp>
                        <wps:wsp>
                          <wps:cNvSpPr/>
                          <wps:spPr>
                            <a:xfrm flipV="1">
                              <a:off x="0" y="10800"/>
                              <a:ext cx="720" cy="3578400"/>
                            </a:xfrm>
                            <a:prstGeom prst="line">
                              <a:avLst/>
                            </a:prstGeom>
                            <a:ln w="38100">
                              <a:solidFill>
                                <a:srgbClr val="000000"/>
                              </a:solidFill>
                              <a:round/>
                              <a:tailEnd len="med" type="triangle" w="med"/>
                            </a:ln>
                          </wps:spPr>
                          <wps:style>
                            <a:lnRef idx="0"/>
                            <a:fillRef idx="0"/>
                            <a:effectRef idx="0"/>
                            <a:fontRef idx="minor"/>
                          </wps:style>
                          <wps:bodyPr/>
                        </wps:wsp>
                      </wpg:wgp>
                    </lc:lockedCanvas>
                  </a:graphicData>
                </a:graphic>
              </wp:inline>
            </w:drawing>
          </mc:Choice>
          <mc:Fallback>
            <w:pict>
              <v:group id="shape_0" alt="Group 12" style="position:absolute;margin-left:0pt;margin-top:-283.55pt;width:317.5pt;height:283.5pt" coordorigin="0,-5671" coordsize="6350,5670">
                <v:rect id="shape_0" ID="Text Box 13" path="m0,0l-2147483645,0l-2147483645,-2147483646l0,-2147483646xe" fillcolor="#009900" stroked="t" o:allowincell="f" style="position:absolute;left:603;top:-5671;width:5698;height:634;mso-wrap-style:square;v-text-anchor:top;mso-position-vertical:top">
                  <v:textbo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Предотвратяване</w:t>
                        </w:r>
                      </w:p>
                    </w:txbxContent>
                  </v:textbox>
                  <v:fill o:detectmouseclick="t" type="solid" color2="#ff66ff"/>
                  <v:stroke color="black" weight="9360" joinstyle="miter" endcap="flat"/>
                  <w10:wrap type="square"/>
                </v:rect>
                <v:rect id="shape_0" ID="Text Box 14" path="m0,0l-2147483645,0l-2147483645,-2147483646l0,-2147483646xe" fillcolor="#669900" stroked="t" o:allowincell="f" style="position:absolute;left:639;top:-4837;width:5696;height:632;mso-wrap-style:square;v-text-anchor:top;mso-position-vertical:top">
                  <v:textbo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Повторна употреба</w:t>
                        </w:r>
                      </w:p>
                    </w:txbxContent>
                  </v:textbox>
                  <v:fill o:detectmouseclick="t" type="solid" color2="#9966ff"/>
                  <v:stroke color="black" weight="9360" joinstyle="miter" endcap="flat"/>
                  <w10:wrap type="square"/>
                </v:rect>
                <v:rect id="shape_0" ID="Text Box 15" path="m0,0l-2147483645,0l-2147483645,-2147483646l0,-2147483646xe" fillcolor="#cccc00" stroked="t" o:allowincell="f" style="position:absolute;left:639;top:-3183;width:5698;height:1437;mso-wrap-style:square;v-text-anchor:top;mso-position-vertical:top">
                  <v:textbo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Изгаряне с оползотворяване на енергия</w:t>
                        </w:r>
                      </w:p>
                    </w:txbxContent>
                  </v:textbox>
                  <v:fill o:detectmouseclick="t" type="solid" color2="#3333ff"/>
                  <v:stroke color="black" weight="9360" joinstyle="miter" endcap="flat"/>
                  <w10:wrap type="square"/>
                </v:rect>
                <v:rect id="shape_0" ID="Text Box 16" path="m0,0l-2147483645,0l-2147483645,-2147483646l0,-2147483646xe" fillcolor="#99cc00" stroked="t" o:allowincell="f" style="position:absolute;left:639;top:-4012;width:5696;height:634;mso-wrap-style:square;v-text-anchor:top;mso-position-vertical:top">
                  <v:textbo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Рециклиране/оползотворяване</w:t>
                        </w:r>
                      </w:p>
                    </w:txbxContent>
                  </v:textbox>
                  <v:fill o:detectmouseclick="t" type="solid" color2="#6633ff"/>
                  <v:stroke color="black" weight="9360" joinstyle="miter" endcap="flat"/>
                  <w10:wrap type="square"/>
                </v:rect>
                <v:rect id="shape_0" ID="Text Box 17" path="m0,0l-2147483645,0l-2147483645,-2147483646l0,-2147483646xe" fillcolor="#cc9900" stroked="t" o:allowincell="f" style="position:absolute;left:650;top:-1502;width:5696;height:632;mso-wrap-style:square;v-text-anchor:top;mso-position-vertical:top">
                  <v:textbo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Изгаряне</w:t>
                        </w:r>
                      </w:p>
                    </w:txbxContent>
                  </v:textbox>
                  <v:fill o:detectmouseclick="t" type="solid" color2="#3366ff"/>
                  <v:stroke color="black" weight="9360" joinstyle="miter" endcap="flat"/>
                  <w10:wrap type="square"/>
                </v:rect>
                <v:rect id="shape_0" ID="Text Box 18" path="m0,0l-2147483645,0l-2147483645,-2147483646l0,-2147483646xe" fillcolor="#996600" stroked="t" o:allowincell="f" style="position:absolute;left:662;top:-633;width:5687;height:631;mso-wrap-style:square;v-text-anchor:top;mso-position-vertical:top">
                  <v:textbox>
                    <w:txbxContent>
                      <w:p>
                        <w:pPr>
                          <w:overflowPunct w:val="false"/>
                          <w:bidi w:val="0"/>
                          <w:spacing w:before="0" w:after="0" w:lineRule="auto" w:line="240"/>
                          <w:jc w:val="center"/>
                          <w:rPr/>
                        </w:pPr>
                        <w:r>
                          <w:rPr>
                            <w:smallCaps w:val="false"/>
                            <w:caps w:val="false"/>
                            <w:iCs w:val="false"/>
                            <w:bCs/>
                            <w:szCs w:val="28"/>
                            <w:spacing w:val="0"/>
                            <w:vertAlign w:val="baseline"/>
                            <w:position w:val="0"/>
                            <w:sz w:val="28"/>
                            <w:i w:val="false"/>
                            <w:dstrike w:val="false"/>
                            <w:strike w:val="false"/>
                            <w:u w:val="none"/>
                            <w:b/>
                            <w:sz w:val="28"/>
                            <w:rFonts w:ascii="Arial" w:hAnsi="Arial"/>
                            <w:color w:val="000000"/>
                            <w:lang w:val="bg-BG"/>
                          </w:rPr>
                          <w:t>Депониране</w:t>
                        </w:r>
                      </w:p>
                    </w:txbxContent>
                  </v:textbox>
                  <v:fill o:detectmouseclick="t" type="solid" color2="#6699ff"/>
                  <v:stroke color="black" weight="9360" joinstyle="miter" endcap="flat"/>
                  <w10:wrap type="square"/>
                </v:rect>
                <v:line id="shape_0" from="0,-5654" to="0,-20" ID="Line 19" stroked="t" o:allowincell="f" style="position:absolute;flip:y;mso-position-vertical:top">
                  <v:stroke color="black" weight="38160" endarrow="block" endarrowwidth="medium" endarrowlength="medium" joinstyle="round" endcap="flat"/>
                  <v:fill o:detectmouseclick="t" on="false"/>
                  <w10:wrap type="square"/>
                </v:line>
              </v:group>
            </w:pict>
          </mc:Fallback>
        </mc:AlternateContent>
      </w:r>
    </w:p>
    <w:p>
      <w:pPr>
        <w:pStyle w:val="Quote"/>
        <w:spacing w:lineRule="auto" w:line="240"/>
        <w:rPr>
          <w:rStyle w:val="Emphasis"/>
        </w:rPr>
      </w:pPr>
      <w:r>
        <w:rPr>
          <w:rStyle w:val="Emphasis"/>
        </w:rPr>
        <w:t>фиг.1 Йерархия  при  управление на отпадъците</w:t>
      </w:r>
    </w:p>
    <w:p>
      <w:pPr>
        <w:pStyle w:val="Quote"/>
        <w:spacing w:lineRule="auto" w:line="240"/>
        <w:rPr>
          <w:rStyle w:val="Emphasis"/>
        </w:rPr>
      </w:pPr>
      <w:r>
        <w:rPr>
          <w:rStyle w:val="Emphasis"/>
        </w:rPr>
        <w:t>2. Българска йерархия при управление на отпадъците. Чрез закона за управление на отпадъците, се регламентира следната йерархия за управление на отпадъците:</w:t>
      </w:r>
    </w:p>
    <w:p>
      <w:pPr>
        <w:pStyle w:val="Quote"/>
        <w:spacing w:lineRule="auto" w:line="240"/>
        <w:rPr>
          <w:rStyle w:val="Emphasis"/>
        </w:rPr>
      </w:pPr>
      <w:r>
        <w:rPr>
          <w:rStyle w:val="Emphasis"/>
        </w:rPr>
        <w:t>А.Приоритет  1 – предотвратяване на образуването на отпадъците</w:t>
      </w:r>
    </w:p>
    <w:p>
      <w:pPr>
        <w:pStyle w:val="Quote"/>
        <w:spacing w:lineRule="auto" w:line="240"/>
        <w:rPr>
          <w:rStyle w:val="Emphasis"/>
        </w:rPr>
      </w:pPr>
      <w:r>
        <w:rPr>
          <w:rStyle w:val="Emphasis"/>
        </w:rPr>
        <w:t xml:space="preserve">Б.Приоритет  2 – оползотворяване на отпадъците , чрез рециклиране , повторно използване и / или извличане на вторични суровини и енергия </w:t>
      </w:r>
    </w:p>
    <w:p>
      <w:pPr>
        <w:pStyle w:val="Quote"/>
        <w:spacing w:lineRule="auto" w:line="240"/>
        <w:rPr>
          <w:rStyle w:val="Emphasis"/>
        </w:rPr>
      </w:pPr>
      <w:r>
        <w:rPr>
          <w:rStyle w:val="Emphasis"/>
        </w:rPr>
        <w:t>В.Приоритет 3 – окончателно обезвреждане , чрез депониране или изгаряне на тези отпадъци, за които е невъзможно да бъдат предотвратени и/или оползотворени.</w:t>
      </w:r>
    </w:p>
    <w:p>
      <w:pPr>
        <w:pStyle w:val="Quote"/>
        <w:spacing w:lineRule="auto" w:line="240"/>
        <w:rPr>
          <w:rStyle w:val="Emphasis"/>
        </w:rPr>
      </w:pPr>
      <w:r>
        <w:rPr>
          <w:rStyle w:val="Emphasis"/>
        </w:rPr>
        <w:t>3. Съществуващи практики по управление на отпадъците в България</w:t>
      </w:r>
    </w:p>
    <w:p>
      <w:pPr>
        <w:pStyle w:val="Quote"/>
        <w:spacing w:lineRule="auto" w:line="240"/>
        <w:rPr>
          <w:rStyle w:val="Emphasis"/>
        </w:rPr>
      </w:pPr>
      <w:r>
        <w:rPr>
          <w:rStyle w:val="Emphasis"/>
        </w:rPr>
        <w:t>А. Събиране</w:t>
      </w:r>
    </w:p>
    <w:p>
      <w:pPr>
        <w:pStyle w:val="Quote"/>
        <w:spacing w:lineRule="auto" w:line="240"/>
        <w:rPr>
          <w:rStyle w:val="Emphasis"/>
        </w:rPr>
      </w:pPr>
      <w:r>
        <w:rPr>
          <w:rStyle w:val="Emphasis"/>
        </w:rPr>
        <w:t>В края на 2006 г., организираното събиране на битови отпадъци обхваща 90% от населението на страната. Събирането на битови отпадъци е организирано в 2861 населени места с население 6 932 761 жители. Независимо от факта, че 100 % от градското население в страната е обхванато от услуги по организирано събиране на отпадъците, обслужваното население в селата е малко над 40 %. Поетапното въвеждане на системата за разделно събиране на отпадъците от опаковки в общините стартира през 2003 г., с финансиране от ПУДООС и от организациите за оползотворяване на отпадъци от опаковки. В страната са организирани пунктове за разделно събиране и на други масово разпространени отпадъци – ИУМПС, НУБА, ИУЕЕО, отработени масла и излезли от употреба гуми.</w:t>
      </w:r>
    </w:p>
    <w:p>
      <w:pPr>
        <w:pStyle w:val="Quote"/>
        <w:spacing w:lineRule="auto" w:line="240"/>
        <w:rPr>
          <w:rStyle w:val="Emphasis"/>
        </w:rPr>
      </w:pPr>
      <w:r>
        <w:rPr>
          <w:rStyle w:val="Emphasis"/>
        </w:rPr>
        <w:t>Б. Транспортиране</w:t>
      </w:r>
    </w:p>
    <w:p>
      <w:pPr>
        <w:pStyle w:val="Quote"/>
        <w:spacing w:lineRule="auto" w:line="240"/>
        <w:rPr>
          <w:rStyle w:val="Emphasis"/>
        </w:rPr>
      </w:pPr>
      <w:r>
        <w:rPr>
          <w:rStyle w:val="Emphasis"/>
        </w:rPr>
        <w:t>Транспортирането на битовите отпадъци до депата се извършва със специализирани автомобили и контейнеровози. Амортизираният автомобилен парк поетапно се подменя, в т.ч. и с финансовото съдействие на ПУДООС. Транспортирането на опасни отпадъци се извършва със специализирани автомобили от притежателите на отпадъците или от лица, притежаващи разрешение за извършване на дейността. При транспортирането се спазват изискванията на международните правни актове за превоз на опасни товари, ратифицирани от Р. България и националното законодателство.</w:t>
      </w:r>
    </w:p>
    <w:p>
      <w:pPr>
        <w:pStyle w:val="Quote"/>
        <w:spacing w:lineRule="auto" w:line="240"/>
        <w:rPr>
          <w:rStyle w:val="Emphasis"/>
        </w:rPr>
      </w:pPr>
      <w:r>
        <w:rPr>
          <w:rStyle w:val="Emphasis"/>
        </w:rPr>
        <w:t>В. Депониране</w:t>
      </w:r>
    </w:p>
    <w:p>
      <w:pPr>
        <w:pStyle w:val="Quote"/>
        <w:spacing w:lineRule="auto" w:line="240"/>
        <w:rPr>
          <w:rStyle w:val="Emphasis"/>
        </w:rPr>
      </w:pPr>
      <w:r>
        <w:rPr>
          <w:rStyle w:val="Emphasis"/>
        </w:rPr>
        <w:t>Депонирането на отпадъци остава основния метод за обезвреждане на отпадъци в страната.С оглед минимизиране на количествата на отпадъците, предназначени за депониране и в съответствие с изискването за предварително третиране на отпадъците преди депониране, в Столична община са изградени 8 сепариращи инсталации, от които четири са за сепариране на отпадъци от опаковки и четири за сепариране на смесени битови отпадъци.</w:t>
      </w:r>
    </w:p>
    <w:p>
      <w:pPr>
        <w:pStyle w:val="Quote"/>
        <w:spacing w:lineRule="auto" w:line="240"/>
        <w:rPr>
          <w:rStyle w:val="Emphasis"/>
        </w:rPr>
      </w:pPr>
      <w:r>
        <w:rPr>
          <w:rStyle w:val="Emphasis"/>
        </w:rPr>
        <w:t>Г. Изгаряне на отпадъци</w:t>
      </w:r>
    </w:p>
    <w:p>
      <w:pPr>
        <w:pStyle w:val="Quote"/>
        <w:spacing w:lineRule="auto" w:line="240"/>
        <w:rPr>
          <w:rStyle w:val="Emphasis"/>
        </w:rPr>
      </w:pPr>
      <w:r>
        <w:rPr>
          <w:rStyle w:val="Emphasis"/>
        </w:rPr>
        <w:t>През 2006 г. бе преустановена експлоатацията на 2 бр. инсталации за изгаряне на битови отпадъци и на 42 бр. инсталации за изгаряне на отпадъци от лечебните заведения, които не отговаряха на нормативните изисквания. Опасни отпадъци се обезвреждат в двата инсинератора на „Лукойл Нефтохим Бургас” АД , които изгарят единствено отпадъци, образувани от дейността на дружеството. На територията на гр. София функционират два инсинератора за отпадъци от лечебните заведения както заведения на територията на Столична община, така и от други региони на страната.</w:t>
      </w:r>
    </w:p>
    <w:p>
      <w:pPr>
        <w:pStyle w:val="Quote"/>
        <w:spacing w:lineRule="auto" w:line="240"/>
        <w:rPr>
          <w:rStyle w:val="Emphasis"/>
        </w:rPr>
      </w:pPr>
      <w:r>
        <w:rPr>
          <w:rStyle w:val="Emphasis"/>
        </w:rPr>
        <w:t>Д. Инсталации за рециклиране</w:t>
      </w:r>
    </w:p>
    <w:p>
      <w:pPr>
        <w:pStyle w:val="Quote"/>
        <w:spacing w:lineRule="auto" w:line="240"/>
        <w:rPr>
          <w:rStyle w:val="Emphasis"/>
          <w:lang w:val="en-US"/>
        </w:rPr>
      </w:pPr>
      <w:r>
        <w:rPr>
          <w:rStyle w:val="Emphasis"/>
        </w:rPr>
        <w:t xml:space="preserve">Състоянието на рециклиращата промишленост е представено по видове рециклирани материали  (хартия и картон, пластмаси, стъкло, метали, излезли от употреба автомобилни гуми). Съществуващите  производителите на стъкло в страната с възможност  за преработка на отпадъчно стъкло са „Дружба” гр. София, </w:t>
      </w:r>
    </w:p>
    <w:p>
      <w:pPr>
        <w:pStyle w:val="Quote"/>
        <w:spacing w:lineRule="auto" w:line="240"/>
        <w:rPr>
          <w:rStyle w:val="Emphasis"/>
        </w:rPr>
      </w:pPr>
      <w:r>
        <w:rPr>
          <w:rStyle w:val="Emphasis"/>
        </w:rPr>
        <w:t>Е. Инсталации за оползотворяване на неорганични материали</w:t>
      </w:r>
    </w:p>
    <w:p>
      <w:pPr>
        <w:pStyle w:val="Quote"/>
        <w:spacing w:lineRule="auto" w:line="240"/>
        <w:rPr>
          <w:rStyle w:val="Emphasis"/>
        </w:rPr>
      </w:pPr>
      <w:r>
        <w:rPr>
          <w:rStyle w:val="Emphasis"/>
        </w:rPr>
        <w:t>На петте завода за производство на цимент е разрешено да използват различни видове отпадъци, като суровина при производството на цимент. Основно се използват пепели от изгарянето на въглища в топлоелектрическите централи, металургични шлаки, гипс от сероочистващи инсталации и др</w:t>
      </w:r>
    </w:p>
    <w:p>
      <w:pPr>
        <w:pStyle w:val="Quote"/>
        <w:spacing w:lineRule="auto" w:line="240"/>
        <w:rPr>
          <w:rStyle w:val="Emphasis"/>
        </w:rPr>
      </w:pPr>
      <w:r>
        <w:rPr>
          <w:rStyle w:val="Emphasis"/>
        </w:rPr>
        <w:t>Ж. Инсталации за предварително третиране</w:t>
      </w:r>
    </w:p>
    <w:p>
      <w:pPr>
        <w:pStyle w:val="Quote"/>
        <w:spacing w:lineRule="auto" w:line="240"/>
        <w:rPr>
          <w:rStyle w:val="Emphasis"/>
        </w:rPr>
      </w:pPr>
      <w:r>
        <w:rPr>
          <w:rStyle w:val="Emphasis"/>
        </w:rPr>
        <w:t>Предварителното третиране на отпадъци цели подготовката на отпадъците за последващо им оползотворяване или обезвреждане. За да бъде определена една операция с отпадъци като “предварително третиране” тя трябва да отговаря на следните критерии:</w:t>
      </w:r>
    </w:p>
    <w:p>
      <w:pPr>
        <w:pStyle w:val="Quote"/>
        <w:spacing w:lineRule="auto" w:line="240"/>
        <w:rPr>
          <w:rStyle w:val="Emphasis"/>
        </w:rPr>
      </w:pPr>
      <w:r>
        <w:rPr>
          <w:rStyle w:val="Emphasis"/>
        </w:rPr>
        <w:t>- да е физичен, термичен, химичен или биологичен процес, включително сепариране и сортиране;</w:t>
      </w:r>
    </w:p>
    <w:p>
      <w:pPr>
        <w:pStyle w:val="Quote"/>
        <w:spacing w:lineRule="auto" w:line="240"/>
        <w:rPr>
          <w:rStyle w:val="Emphasis"/>
        </w:rPr>
      </w:pPr>
      <w:r>
        <w:rPr>
          <w:rStyle w:val="Emphasis"/>
        </w:rPr>
        <w:t>- да променя характеристиките на отпадъците, с цел  да се намали обема им, или да се намалят опасните им свойства, да се улесни по-нататъшното им третиране или да се повиши оползотворяемостта им.</w:t>
      </w:r>
    </w:p>
    <w:p>
      <w:pPr>
        <w:pStyle w:val="Normal"/>
        <w:rPr/>
      </w:pPr>
      <w:r>
        <w:rPr/>
      </w:r>
    </w:p>
    <w:p>
      <w:pPr>
        <w:pStyle w:val="1"/>
        <w:numPr>
          <w:ilvl w:val="0"/>
          <w:numId w:val="0"/>
        </w:numPr>
        <w:ind w:left="0" w:hanging="0"/>
        <w:rPr>
          <w:rStyle w:val="Emphasis"/>
          <w:b/>
          <w:b/>
        </w:rPr>
      </w:pPr>
      <w:r>
        <w:rPr>
          <w:rStyle w:val="Emphasis"/>
          <w:b/>
          <w:lang w:val="en-US"/>
        </w:rPr>
        <w:t>III.</w:t>
      </w:r>
      <w:r>
        <w:rPr>
          <w:rStyle w:val="Emphasis"/>
          <w:b/>
        </w:rPr>
        <w:t>Насоки за устойчиво развитие при управлението на отпадъците</w:t>
      </w:r>
    </w:p>
    <w:p>
      <w:pPr>
        <w:pStyle w:val="Quote"/>
        <w:spacing w:lineRule="auto" w:line="240"/>
        <w:rPr>
          <w:rStyle w:val="Emphasis"/>
        </w:rPr>
      </w:pPr>
      <w:r>
        <w:rPr>
          <w:rStyle w:val="Emphasis"/>
        </w:rPr>
        <w:t>За осъществяване на целта е необходимо:</w:t>
      </w:r>
    </w:p>
    <w:p>
      <w:pPr>
        <w:pStyle w:val="Quote"/>
        <w:spacing w:lineRule="auto" w:line="240"/>
        <w:rPr>
          <w:rStyle w:val="Emphasis"/>
        </w:rPr>
      </w:pPr>
      <w:r>
        <w:rPr>
          <w:rStyle w:val="Emphasis"/>
        </w:rPr>
        <w:t>1.Предотвратяване и намаляване на образуването на отпадъци чрез въвеждането на „чисти” технологии и издаване на комплексни разрешителни.</w:t>
      </w:r>
    </w:p>
    <w:p>
      <w:pPr>
        <w:pStyle w:val="Quote"/>
        <w:spacing w:lineRule="auto" w:line="240"/>
        <w:rPr>
          <w:rStyle w:val="Emphasis"/>
        </w:rPr>
      </w:pPr>
      <w:r>
        <w:rPr>
          <w:rStyle w:val="Emphasis"/>
        </w:rPr>
        <w:t>2.Развитие на инфраструктура за предварително третиране, оползотворяване и обезвреждане на всички генерирани в страната отпадъци чрез поетапно изграждане и въвеждане в експлоатация на инсталации за предварително третиране и  оползотворяване, както и депа за обезвреждане на отпадъци.</w:t>
      </w:r>
    </w:p>
    <w:p>
      <w:pPr>
        <w:pStyle w:val="Quote"/>
        <w:spacing w:lineRule="auto" w:line="240"/>
        <w:rPr>
          <w:rStyle w:val="Emphasis"/>
        </w:rPr>
      </w:pPr>
      <w:r>
        <w:rPr>
          <w:rStyle w:val="Emphasis"/>
        </w:rPr>
        <w:t>3.Обхващане на всички населени места от системи за организирано сметосъбиране на битови отпадъци чрез въвеждане на системи за организирано сметосъбиране в населените места.</w:t>
      </w:r>
    </w:p>
    <w:p>
      <w:pPr>
        <w:pStyle w:val="Quote"/>
        <w:spacing w:lineRule="auto" w:line="240"/>
        <w:rPr>
          <w:rStyle w:val="Emphasis"/>
        </w:rPr>
      </w:pPr>
      <w:r>
        <w:rPr>
          <w:rStyle w:val="Emphasis"/>
        </w:rPr>
        <w:t>4.Управление на специфичните потоци отпадъци, в съответствие с изискванията на ЕС чрез въвеждане на системи за разделно събиране и третиране на различни специфични потоци отпадъци, в т.ч на биоразградими отпадъци и опасни отпадъци от домакинствата.</w:t>
      </w:r>
    </w:p>
    <w:p>
      <w:pPr>
        <w:pStyle w:val="Quote"/>
        <w:spacing w:lineRule="auto" w:line="240"/>
        <w:rPr>
          <w:rStyle w:val="Emphasis"/>
        </w:rPr>
      </w:pPr>
      <w:r>
        <w:rPr>
          <w:rStyle w:val="Emphasis"/>
        </w:rPr>
        <w:t>5.Увеличаване на дела на рециклираните и оползотворени отпадъци спрямо дела на депонираните чрез увеличаване на количеството разделно събрани отпадъци и създаване на икономически стимули за оползотворяване на отпадъците.</w:t>
      </w:r>
    </w:p>
    <w:p>
      <w:pPr>
        <w:pStyle w:val="Quote"/>
        <w:spacing w:lineRule="auto" w:line="240"/>
        <w:rPr>
          <w:rStyle w:val="Emphasis"/>
        </w:rPr>
      </w:pPr>
      <w:r>
        <w:rPr>
          <w:rStyle w:val="Emphasis"/>
        </w:rPr>
        <w:t>6.Изграждане на инсталации за оползотворяване на отделените газови емисии (метан) от депата за битови отпадъци, чрез производство на електрическа енергия.</w:t>
      </w:r>
    </w:p>
    <w:p>
      <w:pPr>
        <w:pStyle w:val="Quote"/>
        <w:spacing w:lineRule="auto" w:line="240"/>
        <w:rPr>
          <w:rStyle w:val="Emphasis"/>
        </w:rPr>
      </w:pPr>
      <w:r>
        <w:rPr>
          <w:rStyle w:val="Emphasis"/>
        </w:rPr>
        <w:t>7.Участие на обществеността в управлението на отпадъците чрез провеждане на информационни кампании  и обучение в училищата</w:t>
      </w:r>
    </w:p>
    <w:p>
      <w:pPr>
        <w:pStyle w:val="Quote"/>
        <w:spacing w:lineRule="auto" w:line="240"/>
        <w:rPr>
          <w:rStyle w:val="Emphasis"/>
        </w:rPr>
      </w:pPr>
      <w:r>
        <w:rPr>
          <w:rStyle w:val="Emphasis"/>
        </w:rPr>
        <w:t>Предотвратяване на образуването и рекултивиране на стари  замърсявания с отпадъци чрез засилване на контрола за нерегламентираното изхвърляне/изоставяне и други форми на нерегламентирано обезвреждане на отпадъците; почистване на замърсяванията и ангажиране на обществеността</w:t>
      </w:r>
    </w:p>
    <w:p>
      <w:pPr>
        <w:pStyle w:val="1"/>
        <w:numPr>
          <w:ilvl w:val="0"/>
          <w:numId w:val="0"/>
        </w:numPr>
        <w:ind w:left="0" w:hanging="0"/>
        <w:rPr>
          <w:rStyle w:val="Emphasis"/>
          <w:b/>
          <w:b/>
        </w:rPr>
      </w:pPr>
      <w:r>
        <w:rPr>
          <w:rStyle w:val="Emphasis"/>
          <w:b/>
          <w:lang w:val="en-US"/>
        </w:rPr>
        <w:t>IV.</w:t>
      </w:r>
      <w:r>
        <w:rPr>
          <w:rStyle w:val="Emphasis"/>
          <w:b/>
        </w:rPr>
        <w:t>Рециклиране</w:t>
      </w:r>
    </w:p>
    <w:p>
      <w:pPr>
        <w:pStyle w:val="Quote"/>
        <w:spacing w:lineRule="auto" w:line="240"/>
        <w:rPr>
          <w:rStyle w:val="Emphasis"/>
        </w:rPr>
      </w:pPr>
      <w:r>
        <w:rPr>
          <w:rStyle w:val="Emphasis"/>
        </w:rPr>
        <w:t>1.Какво представлява рециклирането</w:t>
      </w:r>
    </w:p>
    <w:p>
      <w:pPr>
        <w:pStyle w:val="Quote"/>
        <w:spacing w:lineRule="auto" w:line="240"/>
        <w:rPr>
          <w:rStyle w:val="Emphasis"/>
        </w:rPr>
      </w:pPr>
      <w:r>
        <w:rPr>
          <w:rStyle w:val="Emphasis"/>
        </w:rPr>
        <w:t>Рециклирането е процес използващ материали (отпадъци) за производството на нови продукти, за да се избегне загубата на потенциално полезни материали. Този процес намалява добива на сурови материали, разходването на енергия и замърсяването на въздуха и водата.</w:t>
      </w:r>
    </w:p>
    <w:p>
      <w:pPr>
        <w:pStyle w:val="Quote"/>
        <w:spacing w:lineRule="auto" w:line="240"/>
        <w:rPr>
          <w:rStyle w:val="Emphasis"/>
        </w:rPr>
      </w:pPr>
      <w:r>
        <w:rPr>
          <w:rStyle w:val="Emphasis"/>
        </w:rPr>
        <w:t>2. Защо да рециклираме?</w:t>
      </w:r>
    </w:p>
    <w:p>
      <w:pPr>
        <w:pStyle w:val="Quote"/>
        <w:spacing w:lineRule="auto" w:line="240"/>
        <w:rPr>
          <w:rStyle w:val="Emphasis"/>
        </w:rPr>
      </w:pPr>
      <w:r>
        <w:rPr>
          <w:rStyle w:val="Emphasis"/>
        </w:rPr>
        <w:t>Струва ли си рециклирането усилията? Експертите твърдят, че си заслужава -  по ред причини.</w:t>
      </w:r>
    </w:p>
    <w:p>
      <w:pPr>
        <w:pStyle w:val="Quote"/>
        <w:spacing w:lineRule="auto" w:line="240"/>
        <w:rPr>
          <w:rStyle w:val="Emphasis"/>
        </w:rPr>
      </w:pPr>
      <w:r>
        <w:rPr>
          <w:rStyle w:val="Emphasis"/>
        </w:rPr>
        <w:t>А. Трябва да се справим някак с планините боклуци, които произвеждаме.</w:t>
      </w:r>
    </w:p>
    <w:p>
      <w:pPr>
        <w:pStyle w:val="Quote"/>
        <w:spacing w:lineRule="auto" w:line="240"/>
        <w:rPr>
          <w:rStyle w:val="Emphasis"/>
        </w:rPr>
      </w:pPr>
      <w:r>
        <w:rPr>
          <w:rStyle w:val="Emphasis"/>
        </w:rPr>
        <w:t>Б. Безопасно е. По традиция ние зариваме по-голямата част от боклука си в специалните рекултивирани сметища. Но такива сметища са осеяли цялата страна и всички са пълни.</w:t>
      </w:r>
    </w:p>
    <w:p>
      <w:pPr>
        <w:pStyle w:val="Quote"/>
        <w:spacing w:lineRule="auto" w:line="240"/>
        <w:rPr>
          <w:rStyle w:val="Emphasis"/>
        </w:rPr>
      </w:pPr>
      <w:r>
        <w:rPr>
          <w:rStyle w:val="Emphasis"/>
        </w:rPr>
        <w:t>В. Дори да разполагаме с достатъчно количество рекултивирани сметища, те всички представляват потенциална опасност за здравето. Повечето такива сметища не са пригодени за избягване на възможността токсичната "супа" да се излее в подпочвената вода.</w:t>
      </w:r>
    </w:p>
    <w:p>
      <w:pPr>
        <w:pStyle w:val="Quote"/>
        <w:spacing w:lineRule="auto" w:line="240"/>
        <w:rPr>
          <w:rStyle w:val="Emphasis"/>
        </w:rPr>
      </w:pPr>
      <w:r>
        <w:rPr>
          <w:rStyle w:val="Emphasis"/>
        </w:rPr>
        <w:t>Г. Икономично е. Рециклирането е по-евтино, отколкото изхвърянето на отпадъците в рекултивираните сметища или обработката им в инсинираторите. Може дори да се печели от него.</w:t>
      </w:r>
    </w:p>
    <w:p>
      <w:pPr>
        <w:pStyle w:val="Quote"/>
        <w:spacing w:lineRule="auto" w:line="240"/>
        <w:rPr>
          <w:rStyle w:val="Emphasis"/>
        </w:rPr>
      </w:pPr>
      <w:r>
        <w:rPr>
          <w:rStyle w:val="Emphasis"/>
        </w:rPr>
        <w:t>Някои общини плащат много повече, за да се отърват от боклука си, отколкото предоставят на полицейските си управления.</w:t>
      </w:r>
    </w:p>
    <w:p>
      <w:pPr>
        <w:pStyle w:val="Quote"/>
        <w:spacing w:lineRule="auto" w:line="240"/>
        <w:rPr>
          <w:rStyle w:val="Emphasis"/>
        </w:rPr>
      </w:pPr>
      <w:r>
        <w:rPr>
          <w:rStyle w:val="Emphasis"/>
        </w:rPr>
        <w:t>Рециклирането спестява и на населените места, и на жителите им много пари. А когато има по-малко боклук, ще плащаме и по-малко за да ни го приберат.</w:t>
      </w:r>
    </w:p>
    <w:p>
      <w:pPr>
        <w:pStyle w:val="Quote"/>
        <w:spacing w:lineRule="auto" w:line="240"/>
        <w:rPr>
          <w:rStyle w:val="Emphasis"/>
        </w:rPr>
      </w:pPr>
      <w:r>
        <w:rPr>
          <w:rStyle w:val="Emphasis"/>
        </w:rPr>
        <w:t>И физически и юридически лица печелят пари от рециклирането на отпадъци.</w:t>
      </w:r>
    </w:p>
    <w:p>
      <w:pPr>
        <w:pStyle w:val="Quote"/>
        <w:spacing w:lineRule="auto" w:line="240"/>
        <w:rPr>
          <w:rStyle w:val="Emphasis"/>
        </w:rPr>
      </w:pPr>
      <w:r>
        <w:rPr>
          <w:rStyle w:val="Emphasis"/>
        </w:rPr>
        <w:t>Д. Рециклирането пести рецурси. Нашите ресурси са ограничени. Ако не ги рециклираме, много бързо ще ги привършим.</w:t>
      </w:r>
    </w:p>
    <w:p>
      <w:pPr>
        <w:pStyle w:val="Quote"/>
        <w:spacing w:lineRule="auto" w:line="240"/>
        <w:rPr>
          <w:rStyle w:val="Emphasis"/>
        </w:rPr>
      </w:pPr>
      <w:r>
        <w:rPr>
          <w:rStyle w:val="Emphasis"/>
        </w:rPr>
        <w:t>Можем да добиваме алуминий от алуминиевите консервни кутии ... или от руда, наречена боксит. При темповете, с които оползотворяваме боксита за тази цел, Земята окончателно ще се лиши от него след около 200-300 години.</w:t>
      </w:r>
    </w:p>
    <w:p>
      <w:pPr>
        <w:pStyle w:val="Quote"/>
        <w:spacing w:lineRule="auto" w:line="240"/>
        <w:rPr>
          <w:rStyle w:val="Emphasis"/>
        </w:rPr>
      </w:pPr>
      <w:r>
        <w:rPr>
          <w:rStyle w:val="Emphasis"/>
        </w:rPr>
        <w:t>Можем да използваме вече употребявана хартия за получаване на нова ... или да продължим да изсичаме горите и да "готвим" хартиената каша с "чисто нова" дървесна суровина.</w:t>
      </w:r>
    </w:p>
    <w:p>
      <w:pPr>
        <w:pStyle w:val="Quote"/>
        <w:spacing w:lineRule="auto" w:line="240"/>
        <w:rPr>
          <w:rStyle w:val="Emphasis"/>
        </w:rPr>
      </w:pPr>
      <w:r>
        <w:rPr>
          <w:rStyle w:val="Emphasis"/>
        </w:rPr>
        <w:t>Можем да прерафинираме стар мазут, за да получим нов ... или да продължим да преработваме чисто нов нефт. Откритите находища от нефт в света ще се изчерпат след най-много 35 години при темповете, с които ги експлоатираме.</w:t>
      </w:r>
    </w:p>
    <w:p>
      <w:pPr>
        <w:pStyle w:val="Quote"/>
        <w:spacing w:lineRule="auto" w:line="240"/>
        <w:rPr>
          <w:rStyle w:val="Emphasis"/>
        </w:rPr>
      </w:pPr>
      <w:r>
        <w:rPr>
          <w:rStyle w:val="Emphasis"/>
        </w:rPr>
        <w:t>Е. Не отнема много от времето ни. Според  проучване, направено за целите на Агенцията за опазване на околната среда, показа, че рециклирането отнема на едно семейство само 73 минути - малко повече от час  на месец. Това прави малко над 2 минути на ден.</w:t>
      </w:r>
    </w:p>
    <w:p>
      <w:pPr>
        <w:pStyle w:val="Quote"/>
        <w:spacing w:lineRule="auto" w:line="240"/>
        <w:rPr>
          <w:rStyle w:val="Emphasis"/>
        </w:rPr>
      </w:pPr>
      <w:r>
        <w:rPr>
          <w:rStyle w:val="Emphasis"/>
        </w:rPr>
        <w:t>Ж. Рециклирането създава работни места</w:t>
      </w:r>
    </w:p>
    <w:p>
      <w:pPr>
        <w:pStyle w:val="Quote"/>
        <w:spacing w:lineRule="auto" w:line="240"/>
        <w:rPr>
          <w:rStyle w:val="Emphasis"/>
        </w:rPr>
      </w:pPr>
      <w:r>
        <w:rPr>
          <w:rStyle w:val="Emphasis"/>
        </w:rPr>
        <w:t>Изчислено е, че рециклирането създава почти пет пъти повече работни места от обезвреждането на отпадъци. Рециклирането  изисква фирми, които да събират, да извозват и да преработват рециклируемите материали, както и фирми, които да произвеждат продукти от рециклирани материали. Хората, ангажирани в рециклиращата промишленост са работници в сортиращите инсталации, шофьори на камиони, търговци, работници в преработващите предприятия, инженери или химици.</w:t>
      </w:r>
    </w:p>
    <w:p>
      <w:pPr>
        <w:pStyle w:val="Quote"/>
        <w:spacing w:lineRule="auto" w:line="240"/>
        <w:rPr>
          <w:rStyle w:val="Emphasis"/>
        </w:rPr>
      </w:pPr>
      <w:r>
        <w:rPr>
          <w:rStyle w:val="Emphasis"/>
        </w:rPr>
        <w:t>3. Рециклирането и околната среда</w:t>
      </w:r>
    </w:p>
    <w:p>
      <w:pPr>
        <w:pStyle w:val="Quote"/>
        <w:spacing w:lineRule="auto" w:line="240"/>
        <w:rPr>
          <w:rStyle w:val="Emphasis"/>
        </w:rPr>
      </w:pPr>
      <w:r>
        <w:rPr>
          <w:rStyle w:val="Emphasis"/>
        </w:rPr>
        <w:t>Ето някои от начините, по които рециклирането спомага за успешното преодоляване на наболелите проблеми на околната среда.</w:t>
      </w:r>
    </w:p>
    <w:p>
      <w:pPr>
        <w:pStyle w:val="Quote"/>
        <w:spacing w:lineRule="auto" w:line="240"/>
        <w:rPr>
          <w:rStyle w:val="Emphasis"/>
        </w:rPr>
      </w:pPr>
      <w:r>
        <w:rPr>
          <w:rStyle w:val="Emphasis"/>
        </w:rPr>
        <w:t>А. Проблемът парников ефект</w:t>
      </w:r>
    </w:p>
    <w:p>
      <w:pPr>
        <w:pStyle w:val="Quote"/>
        <w:spacing w:lineRule="auto" w:line="240"/>
        <w:rPr>
          <w:rStyle w:val="Emphasis"/>
        </w:rPr>
      </w:pPr>
      <w:r>
        <w:rPr>
          <w:rStyle w:val="Emphasis"/>
        </w:rPr>
        <w:t>Светът става все по-топъл. Една от причините е парниковият ефект, който се причинява от изхвърлянето в атмосферата на газове като въглеродния двуокис и метана.</w:t>
      </w:r>
    </w:p>
    <w:p>
      <w:pPr>
        <w:pStyle w:val="Quote"/>
        <w:spacing w:lineRule="auto" w:line="240"/>
        <w:rPr>
          <w:rStyle w:val="Emphasis"/>
        </w:rPr>
      </w:pPr>
      <w:r>
        <w:rPr>
          <w:rStyle w:val="Emphasis"/>
        </w:rPr>
        <w:t>Източник: въглеродният двуокис се изхвърля в атмосферата, когато електроцентрали, фабрики и превозни средства горят каменни въглища, нефт и земен газ. Метановият газ се образува при разлагането на съставни части на изхвърления в рекултивираните сметища боклук и се отделя в атмосферата.</w:t>
      </w:r>
    </w:p>
    <w:p>
      <w:pPr>
        <w:pStyle w:val="Quote"/>
        <w:spacing w:lineRule="auto" w:line="240"/>
        <w:rPr>
          <w:rStyle w:val="Emphasis"/>
        </w:rPr>
      </w:pPr>
      <w:r>
        <w:rPr>
          <w:rStyle w:val="Emphasis"/>
        </w:rPr>
        <w:t>Връзката: рециклирането пести енергия при преработката, така че се отделя и много по-малко въглероден двуокис.</w:t>
      </w:r>
    </w:p>
    <w:p>
      <w:pPr>
        <w:pStyle w:val="Quote"/>
        <w:spacing w:lineRule="auto" w:line="240"/>
        <w:rPr>
          <w:rStyle w:val="Emphasis"/>
        </w:rPr>
      </w:pPr>
      <w:r>
        <w:rPr>
          <w:rStyle w:val="Emphasis"/>
        </w:rPr>
        <w:t>Рециклирането държи боклука настрана от сметищата. Така че, по-малко боклуци, по-малко вредни газове.</w:t>
      </w:r>
    </w:p>
    <w:p>
      <w:pPr>
        <w:pStyle w:val="Quote"/>
        <w:spacing w:lineRule="auto" w:line="240"/>
        <w:rPr>
          <w:rStyle w:val="Emphasis"/>
        </w:rPr>
      </w:pPr>
      <w:r>
        <w:rPr>
          <w:rStyle w:val="Emphasis"/>
        </w:rPr>
        <w:t>Дърветата се "хранят" с въглероден двуокис. Колкото повече от употребената хартия рециклираме, толкова по-малко дървета ще бъдат отсечени. Крайният резултат? По-малко въглероден двуокис означава по-чист въздух.</w:t>
      </w:r>
    </w:p>
    <w:p>
      <w:pPr>
        <w:pStyle w:val="Quote"/>
        <w:spacing w:lineRule="auto" w:line="240"/>
        <w:rPr>
          <w:rStyle w:val="Emphasis"/>
        </w:rPr>
      </w:pPr>
      <w:r>
        <w:rPr>
          <w:rStyle w:val="Emphasis"/>
        </w:rPr>
        <w:t>Б. Проблемът замърсяване на водата</w:t>
      </w:r>
    </w:p>
    <w:p>
      <w:pPr>
        <w:pStyle w:val="Quote"/>
        <w:spacing w:lineRule="auto" w:line="240"/>
        <w:rPr>
          <w:rStyle w:val="Emphasis"/>
        </w:rPr>
      </w:pPr>
      <w:r>
        <w:rPr>
          <w:rStyle w:val="Emphasis"/>
        </w:rPr>
        <w:t>Източник: вредните химични вещества, изхвърляни в атмосферата от фабричните комини; използваното гориво, масло, антифриз и бои, изхвърляни от потребителите; токсичното изтичане в рекултивираните сметища, смесващо се с дъждовната вода и други.</w:t>
      </w:r>
    </w:p>
    <w:p>
      <w:pPr>
        <w:pStyle w:val="Quote"/>
        <w:spacing w:lineRule="auto" w:line="240"/>
        <w:rPr>
          <w:rStyle w:val="Emphasis"/>
        </w:rPr>
      </w:pPr>
      <w:r>
        <w:rPr>
          <w:rStyle w:val="Emphasis"/>
        </w:rPr>
        <w:t>Връзката: като рециклираме отпадъците със съдържание на вредни вещества, фактически ги държим настрана от подпочвената и другата вода.</w:t>
      </w:r>
    </w:p>
    <w:p>
      <w:pPr>
        <w:pStyle w:val="Quote"/>
        <w:spacing w:lineRule="auto" w:line="240"/>
        <w:rPr>
          <w:rStyle w:val="Emphasis"/>
        </w:rPr>
      </w:pPr>
      <w:r>
        <w:rPr>
          <w:rStyle w:val="Emphasis"/>
        </w:rPr>
        <w:t>Рециклирането означава по-малко индустриални отпадъци във водата. Означава и да спестим процеса на избелване на хартията, което означава по-малко диоксини във водата.</w:t>
      </w:r>
    </w:p>
    <w:p>
      <w:pPr>
        <w:pStyle w:val="Quote"/>
        <w:spacing w:lineRule="auto" w:line="240"/>
        <w:rPr>
          <w:rStyle w:val="Emphasis"/>
        </w:rPr>
      </w:pPr>
      <w:r>
        <w:rPr>
          <w:rStyle w:val="Emphasis"/>
        </w:rPr>
        <w:t>4.Интересни факти за рециклирането</w:t>
      </w:r>
    </w:p>
    <w:p>
      <w:pPr>
        <w:pStyle w:val="Quote"/>
        <w:spacing w:lineRule="auto" w:line="240" w:before="0" w:after="40"/>
        <w:rPr>
          <w:i w:val="false"/>
          <w:i w:val="false"/>
          <w:iCs w:val="false"/>
        </w:rPr>
      </w:pPr>
      <w:r>
        <w:rPr>
          <w:rStyle w:val="Emphasis"/>
        </w:rPr>
        <w:t>-С енергията, която се спестява от рециклирането на една стъклена бутилка, може да гледате 20 минути телевизия.</w:t>
      </w:r>
    </w:p>
    <w:p>
      <w:pPr>
        <w:pStyle w:val="Quote"/>
        <w:spacing w:lineRule="auto" w:line="240" w:before="0" w:after="40"/>
        <w:rPr>
          <w:rStyle w:val="Emphasis"/>
        </w:rPr>
      </w:pPr>
      <w:r>
        <w:rPr>
          <w:rStyle w:val="Emphasis"/>
        </w:rPr>
        <w:t>- Стъклото се рециклира до 2000 пъти.</w:t>
      </w:r>
    </w:p>
    <w:p>
      <w:pPr>
        <w:pStyle w:val="Quote"/>
        <w:spacing w:lineRule="auto" w:line="240" w:before="0" w:after="40"/>
        <w:rPr>
          <w:rStyle w:val="Emphasis"/>
        </w:rPr>
      </w:pPr>
      <w:r>
        <w:rPr>
          <w:rStyle w:val="Emphasis"/>
        </w:rPr>
        <w:t>- Всеки тон рециклирана хартия спасява от отсичане 13 дървета.</w:t>
      </w:r>
    </w:p>
    <w:p>
      <w:pPr>
        <w:pStyle w:val="Quote"/>
        <w:spacing w:lineRule="auto" w:line="240" w:before="0" w:after="40"/>
        <w:rPr>
          <w:rStyle w:val="Emphasis"/>
        </w:rPr>
      </w:pPr>
      <w:r>
        <w:rPr>
          <w:rStyle w:val="Emphasis"/>
        </w:rPr>
        <w:t>- 400 хиляди дървета щяха да бъдат унищожени за отпечатването на последната книга за Хари Потър в САЩ, ако издателите не бяха избрали да използват само рециклирана хартия.</w:t>
      </w:r>
    </w:p>
    <w:p>
      <w:pPr>
        <w:pStyle w:val="Quote"/>
        <w:spacing w:lineRule="auto" w:line="240" w:before="0" w:after="40"/>
        <w:rPr>
          <w:rStyle w:val="Emphasis"/>
        </w:rPr>
      </w:pPr>
      <w:r>
        <w:rPr>
          <w:rStyle w:val="Emphasis"/>
        </w:rPr>
        <w:t>- Хартията може да се рециклира от 5 до 7 пъти, след което се разпада.</w:t>
      </w:r>
    </w:p>
    <w:p>
      <w:pPr>
        <w:pStyle w:val="Quote"/>
        <w:spacing w:lineRule="auto" w:line="240" w:before="0" w:after="40"/>
        <w:rPr>
          <w:rStyle w:val="Emphasis"/>
        </w:rPr>
      </w:pPr>
      <w:r>
        <w:rPr>
          <w:rStyle w:val="Emphasis"/>
        </w:rPr>
        <w:t>- 1 тон рециклирана пластмаса спестява електричеството на едно българско домакинство за две години.</w:t>
      </w:r>
    </w:p>
    <w:p>
      <w:pPr>
        <w:pStyle w:val="Quote"/>
        <w:spacing w:lineRule="auto" w:line="240"/>
        <w:rPr>
          <w:i w:val="false"/>
          <w:i w:val="false"/>
          <w:iCs w:val="false"/>
          <w:color w:val="auto"/>
          <w:lang w:val="en-US"/>
        </w:rPr>
      </w:pPr>
      <w:r>
        <w:rPr>
          <w:i w:val="false"/>
          <w:iCs w:val="false"/>
          <w:color w:val="auto"/>
          <w:lang w:val="en-US"/>
        </w:rPr>
      </w:r>
    </w:p>
    <w:p>
      <w:pPr>
        <w:pStyle w:val="Quote"/>
        <w:spacing w:lineRule="auto" w:line="240"/>
        <w:rPr>
          <w:rStyle w:val="Emphasis"/>
        </w:rPr>
      </w:pPr>
      <w:r>
        <w:rPr>
          <w:rStyle w:val="Emphasis"/>
        </w:rPr>
        <w:t>Процент СПЕСТЕНА ЕНЕРГИЯ при използването на рециклирани материали вместо сурови при производство:</w:t>
        <w:br/>
        <w:br/>
        <w:t>-Стъкло-40%</w:t>
        <w:br/>
        <w:t>-Вестници-40%</w:t>
        <w:br/>
        <w:t>-Стомана-60%</w:t>
        <w:br/>
        <w:t>-Пластмаса-70%</w:t>
        <w:br/>
        <w:t>-Алуминий -95%</w:t>
      </w:r>
    </w:p>
    <w:p>
      <w:pPr>
        <w:pStyle w:val="Quote"/>
        <w:spacing w:lineRule="auto" w:line="240"/>
        <w:rPr>
          <w:rStyle w:val="Emphasis"/>
        </w:rPr>
      </w:pPr>
      <w:r>
        <w:rPr/>
      </w:r>
    </w:p>
    <w:p>
      <w:pPr>
        <w:pStyle w:val="1"/>
        <w:numPr>
          <w:ilvl w:val="0"/>
          <w:numId w:val="0"/>
        </w:numPr>
        <w:ind w:left="0" w:hanging="0"/>
        <w:rPr>
          <w:rStyle w:val="Emphasis"/>
          <w:b/>
          <w:b/>
        </w:rPr>
      </w:pPr>
      <w:r>
        <w:rPr>
          <w:rStyle w:val="Emphasis"/>
          <w:b/>
          <w:lang w:val="en-US"/>
        </w:rPr>
        <w:t>V.</w:t>
      </w:r>
      <w:r>
        <w:rPr>
          <w:rStyle w:val="Emphasis"/>
          <w:b/>
        </w:rPr>
        <w:t>Добри бизнес практики за повторна употреба и минимизиране на отпадъците</w:t>
      </w:r>
    </w:p>
    <w:p>
      <w:pPr>
        <w:pStyle w:val="Quote"/>
        <w:spacing w:lineRule="auto" w:line="240"/>
        <w:rPr>
          <w:rStyle w:val="Emphasis"/>
        </w:rPr>
      </w:pPr>
      <w:r>
        <w:rPr>
          <w:rStyle w:val="Emphasis"/>
        </w:rPr>
        <w:t>1.Рециклирана мода  в България</w:t>
      </w:r>
    </w:p>
    <w:p>
      <w:pPr>
        <w:pStyle w:val="Quote"/>
        <w:spacing w:lineRule="auto" w:line="240"/>
        <w:rPr>
          <w:rStyle w:val="Emphasis"/>
        </w:rPr>
      </w:pPr>
      <w:r>
        <w:rPr>
          <w:rStyle w:val="Emphasis"/>
        </w:rPr>
        <w:t>Все още са малко местата в България, откъдето можем да си закупим дрехи или вещи от рециклирани материали.  Чантите на Zona Urbana например са направени  от отпадъчни материали. Това е Чанта направена от ламинирани стари вестници и списания, вътрешна гума от кола.</w:t>
      </w:r>
    </w:p>
    <w:p>
      <w:pPr>
        <w:pStyle w:val="Quote"/>
        <w:spacing w:lineRule="auto" w:line="240"/>
        <w:rPr>
          <w:rStyle w:val="Emphasis"/>
        </w:rPr>
      </w:pPr>
      <w:r>
        <w:rPr/>
        <w:drawing>
          <wp:inline distT="0" distB="0" distL="0" distR="0">
            <wp:extent cx="2409825" cy="2409825"/>
            <wp:effectExtent l="0" t="0" r="0" b="0"/>
            <wp:docPr id="2" name="Picture 6" descr="C:\Documents and Settings\Eli\Desktop\_MG_5770 copy_280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Documents and Settings\Eli\Desktop\_MG_5770 copy_280_5.jpg"/>
                    <pic:cNvPicPr>
                      <a:picLocks noChangeAspect="1" noChangeArrowheads="1"/>
                    </pic:cNvPicPr>
                  </pic:nvPicPr>
                  <pic:blipFill>
                    <a:blip r:embed="rId2"/>
                    <a:stretch>
                      <a:fillRect/>
                    </a:stretch>
                  </pic:blipFill>
                  <pic:spPr bwMode="auto">
                    <a:xfrm>
                      <a:off x="0" y="0"/>
                      <a:ext cx="2409825" cy="2409825"/>
                    </a:xfrm>
                    <a:prstGeom prst="rect">
                      <a:avLst/>
                    </a:prstGeom>
                  </pic:spPr>
                </pic:pic>
              </a:graphicData>
            </a:graphic>
          </wp:inline>
        </w:drawing>
      </w:r>
    </w:p>
    <w:p>
      <w:pPr>
        <w:pStyle w:val="Quote"/>
        <w:spacing w:lineRule="auto" w:line="240"/>
        <w:rPr>
          <w:rStyle w:val="Emphasis"/>
        </w:rPr>
      </w:pPr>
      <w:r>
        <w:rPr>
          <w:rStyle w:val="Emphasis"/>
        </w:rPr>
        <w:t>2.Старите тениски се превръщат в калъфки за лаптопи, , айподи. В ателието на Hello Rewind събират тениските, от които всички имаме в повече, и ги превръщат в нещо ново. Приходите от продажбите пък отиват за борбата с трафика с жени в САЩ</w:t>
      </w:r>
    </w:p>
    <w:p>
      <w:pPr>
        <w:pStyle w:val="Quote"/>
        <w:spacing w:lineRule="auto" w:line="240"/>
        <w:rPr>
          <w:rStyle w:val="Emphasis"/>
        </w:rPr>
      </w:pPr>
      <w:r>
        <w:rPr/>
        <w:drawing>
          <wp:inline distT="0" distB="0" distL="0" distR="0">
            <wp:extent cx="4514850" cy="2406650"/>
            <wp:effectExtent l="0" t="0" r="0" b="0"/>
            <wp:docPr id="3" name="Picture 2" descr="C:\Documents and Settings\Eli\Desktop\Старите тишърти се превръщ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C:\Documents and Settings\Eli\Desktop\Старите тишърти се превръщат.jpg"/>
                    <pic:cNvPicPr>
                      <a:picLocks noChangeAspect="1" noChangeArrowheads="1"/>
                    </pic:cNvPicPr>
                  </pic:nvPicPr>
                  <pic:blipFill>
                    <a:blip r:embed="rId3"/>
                    <a:stretch>
                      <a:fillRect/>
                    </a:stretch>
                  </pic:blipFill>
                  <pic:spPr bwMode="auto">
                    <a:xfrm>
                      <a:off x="0" y="0"/>
                      <a:ext cx="4514850" cy="2406650"/>
                    </a:xfrm>
                    <a:prstGeom prst="rect">
                      <a:avLst/>
                    </a:prstGeom>
                  </pic:spPr>
                </pic:pic>
              </a:graphicData>
            </a:graphic>
          </wp:inline>
        </w:drawing>
      </w:r>
    </w:p>
    <w:p>
      <w:pPr>
        <w:pStyle w:val="Quote"/>
        <w:spacing w:lineRule="auto" w:line="240"/>
        <w:rPr>
          <w:rStyle w:val="Emphasis"/>
        </w:rPr>
      </w:pPr>
      <w:r>
        <w:rPr>
          <w:rStyle w:val="Emphasis"/>
        </w:rPr>
        <w:t>3.Escama Studio правят  аксесоари и бижута, използвайки два компонента:  1. боклук, 2. труд  от хора в трудно положение. Резултатът е впечатляващ.</w:t>
      </w:r>
    </w:p>
    <w:p>
      <w:pPr>
        <w:pStyle w:val="Quote"/>
        <w:spacing w:lineRule="auto" w:line="240"/>
        <w:rPr>
          <w:rStyle w:val="Emphasis"/>
        </w:rPr>
      </w:pPr>
      <w:r>
        <w:rPr/>
        <w:drawing>
          <wp:inline distT="0" distB="0" distL="0" distR="0">
            <wp:extent cx="3914775" cy="2489835"/>
            <wp:effectExtent l="0" t="0" r="0" b="0"/>
            <wp:docPr id="4" name="Picture 3" descr="C:\Documents and Settings\Eli\Desktop\escamastud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Documents and Settings\Eli\Desktop\escamastudio.jpg"/>
                    <pic:cNvPicPr>
                      <a:picLocks noChangeAspect="1" noChangeArrowheads="1"/>
                    </pic:cNvPicPr>
                  </pic:nvPicPr>
                  <pic:blipFill>
                    <a:blip r:embed="rId4"/>
                    <a:stretch>
                      <a:fillRect/>
                    </a:stretch>
                  </pic:blipFill>
                  <pic:spPr bwMode="auto">
                    <a:xfrm>
                      <a:off x="0" y="0"/>
                      <a:ext cx="3914775" cy="2489835"/>
                    </a:xfrm>
                    <a:prstGeom prst="rect">
                      <a:avLst/>
                    </a:prstGeom>
                  </pic:spPr>
                </pic:pic>
              </a:graphicData>
            </a:graphic>
          </wp:inline>
        </w:drawing>
      </w:r>
    </w:p>
    <w:p>
      <w:pPr>
        <w:pStyle w:val="Quote"/>
        <w:spacing w:lineRule="auto" w:line="240"/>
        <w:rPr>
          <w:rStyle w:val="Emphasis"/>
        </w:rPr>
      </w:pPr>
      <w:r>
        <w:rPr>
          <w:rStyle w:val="Emphasis"/>
        </w:rPr>
        <w:t>4.На фирмата Patagonia не им е отнело много време да стигнат до старите пластмасови бутилки и да започнат да правят изключителни качествени и удобни чудеса от тях. Тази обувка е направена от боклук.</w:t>
      </w:r>
    </w:p>
    <w:p>
      <w:pPr>
        <w:pStyle w:val="Quote"/>
        <w:spacing w:lineRule="auto" w:line="240"/>
        <w:rPr>
          <w:rStyle w:val="Emphasis"/>
        </w:rPr>
      </w:pPr>
      <w:r>
        <w:rPr/>
        <w:drawing>
          <wp:inline distT="0" distB="0" distL="0" distR="0">
            <wp:extent cx="3743325" cy="1877695"/>
            <wp:effectExtent l="0" t="0" r="0" b="0"/>
            <wp:docPr id="5" name="Picture 4" descr="C:\Documents and Settings\Eli\Desktop\patago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Documents and Settings\Eli\Desktop\patagonia.jpg"/>
                    <pic:cNvPicPr>
                      <a:picLocks noChangeAspect="1" noChangeArrowheads="1"/>
                    </pic:cNvPicPr>
                  </pic:nvPicPr>
                  <pic:blipFill>
                    <a:blip r:embed="rId5"/>
                    <a:stretch>
                      <a:fillRect/>
                    </a:stretch>
                  </pic:blipFill>
                  <pic:spPr bwMode="auto">
                    <a:xfrm>
                      <a:off x="0" y="0"/>
                      <a:ext cx="3743325" cy="1877695"/>
                    </a:xfrm>
                    <a:prstGeom prst="rect">
                      <a:avLst/>
                    </a:prstGeom>
                  </pic:spPr>
                </pic:pic>
              </a:graphicData>
            </a:graphic>
          </wp:inline>
        </w:drawing>
      </w:r>
    </w:p>
    <w:p>
      <w:pPr>
        <w:pStyle w:val="Quote"/>
        <w:spacing w:lineRule="auto" w:line="240"/>
        <w:rPr>
          <w:rStyle w:val="Emphasis"/>
        </w:rPr>
      </w:pPr>
      <w:r>
        <w:rPr>
          <w:rStyle w:val="Emphasis"/>
        </w:rPr>
        <w:t>5.Това  е обувката, която Nike правят с изрезки и отпадъци от производството.</w:t>
      </w:r>
    </w:p>
    <w:p>
      <w:pPr>
        <w:pStyle w:val="Quote"/>
        <w:spacing w:lineRule="auto" w:line="240"/>
        <w:rPr>
          <w:rStyle w:val="Emphasis"/>
        </w:rPr>
      </w:pPr>
      <w:r>
        <w:rPr/>
        <w:drawing>
          <wp:inline distT="0" distB="0" distL="0" distR="0">
            <wp:extent cx="3971925" cy="2145030"/>
            <wp:effectExtent l="0" t="0" r="0" b="0"/>
            <wp:docPr id="6" name="Picture 5" descr="C:\Documents and Settings\Eli\Desktop\nik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Documents and Settings\Eli\Desktop\nike1.jpg"/>
                    <pic:cNvPicPr>
                      <a:picLocks noChangeAspect="1" noChangeArrowheads="1"/>
                    </pic:cNvPicPr>
                  </pic:nvPicPr>
                  <pic:blipFill>
                    <a:blip r:embed="rId6"/>
                    <a:stretch>
                      <a:fillRect/>
                    </a:stretch>
                  </pic:blipFill>
                  <pic:spPr bwMode="auto">
                    <a:xfrm>
                      <a:off x="0" y="0"/>
                      <a:ext cx="3971925" cy="2145030"/>
                    </a:xfrm>
                    <a:prstGeom prst="rect">
                      <a:avLst/>
                    </a:prstGeom>
                  </pic:spPr>
                </pic:pic>
              </a:graphicData>
            </a:graphic>
          </wp:inline>
        </w:drawing>
      </w:r>
    </w:p>
    <w:p>
      <w:pPr>
        <w:pStyle w:val="Quote"/>
        <w:spacing w:lineRule="auto" w:line="240"/>
        <w:rPr>
          <w:rStyle w:val="Emphasis"/>
        </w:rPr>
      </w:pPr>
      <w:r>
        <w:rPr>
          <w:rStyle w:val="Emphasis"/>
        </w:rPr>
        <w:t>6. Emaco правят стилни столове от рециклиран алуминий. Столът в ляво на картинката е направен от 111 празни кенчета от кока-кола. А столът в дясто е направен от рециклирани пластмасови бутилки.</w:t>
      </w:r>
    </w:p>
    <w:p>
      <w:pPr>
        <w:pStyle w:val="Quote"/>
        <w:spacing w:lineRule="auto" w:line="240"/>
        <w:rPr>
          <w:rStyle w:val="Emphasis"/>
        </w:rPr>
      </w:pPr>
      <w:r>
        <w:rPr/>
        <w:drawing>
          <wp:inline distT="0" distB="0" distL="0" distR="0">
            <wp:extent cx="4533900" cy="2856230"/>
            <wp:effectExtent l="0" t="0" r="0" b="0"/>
            <wp:docPr id="7"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 descr=""/>
                    <pic:cNvPicPr>
                      <a:picLocks noChangeAspect="1" noChangeArrowheads="1"/>
                    </pic:cNvPicPr>
                  </pic:nvPicPr>
                  <pic:blipFill>
                    <a:blip r:embed="rId7"/>
                    <a:stretch>
                      <a:fillRect/>
                    </a:stretch>
                  </pic:blipFill>
                  <pic:spPr bwMode="auto">
                    <a:xfrm>
                      <a:off x="0" y="0"/>
                      <a:ext cx="4533900" cy="2856230"/>
                    </a:xfrm>
                    <a:prstGeom prst="rect">
                      <a:avLst/>
                    </a:prstGeom>
                  </pic:spPr>
                </pic:pic>
              </a:graphicData>
            </a:graphic>
          </wp:inline>
        </w:drawing>
      </w:r>
    </w:p>
    <w:p>
      <w:pPr>
        <w:pStyle w:val="1"/>
        <w:numPr>
          <w:ilvl w:val="0"/>
          <w:numId w:val="0"/>
        </w:numPr>
        <w:ind w:left="0" w:hanging="0"/>
        <w:rPr>
          <w:rStyle w:val="Emphasis"/>
          <w:b/>
          <w:b/>
        </w:rPr>
      </w:pPr>
      <w:r>
        <w:rPr>
          <w:rStyle w:val="Emphasis"/>
          <w:b/>
          <w:lang w:val="en-US"/>
        </w:rPr>
        <w:t>VI.</w:t>
      </w:r>
      <w:r>
        <w:rPr>
          <w:rStyle w:val="Emphasis"/>
          <w:b/>
        </w:rPr>
        <w:t>Индустриален дизайн и нови технологии</w:t>
      </w:r>
    </w:p>
    <w:p>
      <w:pPr>
        <w:pStyle w:val="Quote"/>
        <w:spacing w:lineRule="auto" w:line="240"/>
        <w:rPr>
          <w:rStyle w:val="Emphasis"/>
        </w:rPr>
      </w:pPr>
      <w:r>
        <w:rPr>
          <w:rStyle w:val="Emphasis"/>
        </w:rPr>
        <w:t>Една  пластмасова бутилка съдържа поне 3 вида пластмаси , изискващи различни технологии за преработка , което затруднява процесът на рециклиране . С масовото навлизане на продукти за еднократна употреба  сметищата се препълват от хартиени и пластмасови чашки и чинии, найлонови торбички и др.  За да решат  този проблем все повече  компании се насочват към разработване на биоразградими материали и въвеждането на продукти за многократна употреба.</w:t>
      </w:r>
    </w:p>
    <w:p>
      <w:pPr>
        <w:pStyle w:val="Quote"/>
        <w:spacing w:lineRule="auto" w:line="240"/>
        <w:rPr>
          <w:rStyle w:val="Emphasis"/>
        </w:rPr>
      </w:pPr>
      <w:r>
        <w:rPr>
          <w:rStyle w:val="Emphasis"/>
        </w:rPr>
        <w:t xml:space="preserve">1.Компостируеми опаковки за еднократна употреба </w:t>
      </w:r>
    </w:p>
    <w:p>
      <w:pPr>
        <w:pStyle w:val="Quote"/>
        <w:spacing w:lineRule="auto" w:line="240"/>
        <w:rPr>
          <w:rStyle w:val="Emphasis"/>
        </w:rPr>
      </w:pPr>
      <w:r>
        <w:rPr>
          <w:rStyle w:val="Emphasis"/>
        </w:rPr>
        <w:t xml:space="preserve">Чашите, чиниите и приборите на Биокорп САЩ са произведени от биоразграждащо се царевично нишесте и естествени полимери и могат да се компостират и връщат в почвата  до няколко седмици след употреба. </w:t>
      </w:r>
    </w:p>
    <w:p>
      <w:pPr>
        <w:pStyle w:val="Quote"/>
        <w:spacing w:lineRule="auto" w:line="240"/>
        <w:rPr>
          <w:rStyle w:val="Emphasis"/>
        </w:rPr>
      </w:pPr>
      <w:r>
        <w:rPr>
          <w:rStyle w:val="Emphasis"/>
        </w:rPr>
        <w:t>2.Новозеландска компания за картофени чинии</w:t>
      </w:r>
    </w:p>
    <w:p>
      <w:pPr>
        <w:pStyle w:val="Quote"/>
        <w:spacing w:lineRule="auto" w:line="240"/>
        <w:rPr>
          <w:rStyle w:val="Emphasis"/>
        </w:rPr>
      </w:pPr>
      <w:r>
        <w:rPr>
          <w:rStyle w:val="Emphasis"/>
        </w:rPr>
        <w:t>Компанията, произвежда  100% биоразтворими и компостируеми еднократни опаковки, както и съдове от картофена скорбяла. Според компанията материалите и са подходящи за всички видове храни, микровълнови фурни и фризери.  Всички продукти са направени от  хранителни материали без консерванти или токсини.</w:t>
      </w:r>
    </w:p>
    <w:p>
      <w:pPr>
        <w:pStyle w:val="Quote"/>
        <w:spacing w:lineRule="auto" w:line="240"/>
        <w:rPr>
          <w:rStyle w:val="Emphasis"/>
        </w:rPr>
      </w:pPr>
      <w:r>
        <w:rPr>
          <w:rStyle w:val="Emphasis"/>
        </w:rPr>
        <w:t>3.Рециклируем заместител на стиропора</w:t>
      </w:r>
    </w:p>
    <w:p>
      <w:pPr>
        <w:pStyle w:val="Quote"/>
        <w:spacing w:lineRule="auto" w:line="240"/>
        <w:rPr>
          <w:rStyle w:val="Emphasis"/>
        </w:rPr>
      </w:pPr>
      <w:r>
        <w:rPr>
          <w:rStyle w:val="Emphasis"/>
        </w:rPr>
        <w:t>Стиропорените блокчета не могат да се рециклират, затова Лексмарк, производител на компютърни принтери, използва рециклируем картон вместо стиропор за повечето принтери от 1997г. Картонът на Лексмарк е подобен на корите за яйца и се обработва в много рециклиращи центрове.</w:t>
      </w:r>
    </w:p>
    <w:p>
      <w:pPr>
        <w:pStyle w:val="Quote"/>
        <w:spacing w:lineRule="auto" w:line="240"/>
        <w:rPr>
          <w:rStyle w:val="Emphasis"/>
        </w:rPr>
      </w:pPr>
      <w:r>
        <w:rPr>
          <w:rStyle w:val="Emphasis"/>
        </w:rPr>
        <w:t xml:space="preserve">4.  Компютри от биопластмаса </w:t>
      </w:r>
    </w:p>
    <w:p>
      <w:pPr>
        <w:pStyle w:val="Quote"/>
        <w:spacing w:lineRule="auto" w:line="240"/>
        <w:rPr>
          <w:rStyle w:val="Emphasis"/>
          <w:lang w:val="en-US"/>
        </w:rPr>
      </w:pPr>
      <w:r>
        <w:rPr>
          <w:rStyle w:val="Emphasis"/>
        </w:rPr>
        <w:t>Японската компания Фуджитцу и помпанията Торей Индъстрис успяха със съвместни усилия да разработят голяма компютърна кутия от биопластмаса . В доклада на „Япония за устойчивост” се споменава, че  за първи път в света се използва биопластмаса , направена от царевично брашно , в производството на компютърни части. Новата технология може да намали до един литър  консумацията на петрол при производството на един преносим компютър.</w:t>
      </w:r>
    </w:p>
    <w:p>
      <w:pPr>
        <w:pStyle w:val="Quote"/>
        <w:spacing w:lineRule="auto" w:line="240"/>
        <w:rPr>
          <w:rStyle w:val="Emphasis"/>
        </w:rPr>
      </w:pPr>
      <w:r>
        <w:rPr>
          <w:rStyle w:val="Emphasis"/>
          <w:b/>
          <w:lang w:val="en-US"/>
        </w:rPr>
        <w:t>VII.</w:t>
      </w:r>
      <w:r>
        <w:rPr>
          <w:rStyle w:val="Emphasis"/>
          <w:b/>
        </w:rPr>
        <w:t>Как може всеки от нас да помогне за един по-чист свят</w:t>
      </w:r>
    </w:p>
    <w:p>
      <w:pPr>
        <w:pStyle w:val="Quote"/>
        <w:spacing w:lineRule="auto" w:line="240"/>
        <w:rPr>
          <w:rStyle w:val="Emphasis"/>
        </w:rPr>
      </w:pPr>
      <w:r>
        <w:rPr>
          <w:rStyle w:val="Emphasis"/>
        </w:rPr>
        <w:t>1. Връщане на старите електроуреди – много фирми предлагат транспортиране от домът ви с цел тяхното рециклиране</w:t>
      </w:r>
    </w:p>
    <w:p>
      <w:pPr>
        <w:pStyle w:val="Quote"/>
        <w:spacing w:lineRule="auto" w:line="240"/>
        <w:rPr>
          <w:rStyle w:val="Emphasis"/>
        </w:rPr>
      </w:pPr>
      <w:r>
        <w:rPr>
          <w:rStyle w:val="Emphasis"/>
        </w:rPr>
        <w:t>2. Разделно събиране на отпадъците вкъщи и разпределянето им в специалните  контейнери за разделно събиране или в пунктове за вторични суровини.</w:t>
      </w:r>
    </w:p>
    <w:p>
      <w:pPr>
        <w:pStyle w:val="Quote"/>
        <w:spacing w:lineRule="auto" w:line="240"/>
        <w:rPr>
          <w:rStyle w:val="Emphasis"/>
        </w:rPr>
      </w:pPr>
      <w:r>
        <w:rPr>
          <w:rStyle w:val="Emphasis"/>
        </w:rPr>
        <w:t>3. Използване на торбички за многократна употреба при пазаруване и въобще продукти, които могат да се ползват многократно.</w:t>
      </w:r>
    </w:p>
    <w:p>
      <w:pPr>
        <w:pStyle w:val="Quote"/>
        <w:spacing w:lineRule="auto" w:line="240"/>
        <w:rPr>
          <w:rStyle w:val="Emphasis"/>
        </w:rPr>
      </w:pPr>
      <w:r>
        <w:rPr>
          <w:rStyle w:val="Emphasis"/>
        </w:rPr>
        <w:t xml:space="preserve">4. В  много от супермаркетите, училищата, детски градини и др. има и контейнери за събиране на използвани батерии с цел рециклиране. Къде може да изхвърлите батериите си може да видите и на сайта </w:t>
      </w:r>
      <w:hyperlink r:id="rId8">
        <w:r>
          <w:rPr>
            <w:rStyle w:val="Emphasis"/>
          </w:rPr>
          <w:t>www.ecobatterybg.com</w:t>
        </w:r>
      </w:hyperlink>
    </w:p>
    <w:p>
      <w:pPr>
        <w:pStyle w:val="Quote"/>
        <w:spacing w:lineRule="auto" w:line="240"/>
        <w:rPr>
          <w:rStyle w:val="Emphasis"/>
        </w:rPr>
      </w:pPr>
      <w:r>
        <w:rPr>
          <w:rStyle w:val="Emphasis"/>
        </w:rPr>
        <w:t>5.Купувайте каквото ви е необходимо, а не каквото желаете. Ако всички на земята живееха като европейците, щяха да са ни необходими ресурсите на три планети. Не попадайте в капана на консуматорството. Направете си списък за пазаруване с нещата, които наистина са ви необходими, вместо да вземате ненужни стоки, които само си мислите, че ви трябват. Така ще спестите и пари.</w:t>
      </w:r>
    </w:p>
    <w:p>
      <w:pPr>
        <w:pStyle w:val="Quote"/>
        <w:spacing w:lineRule="auto" w:line="240"/>
        <w:rPr>
          <w:rStyle w:val="Emphasis"/>
        </w:rPr>
      </w:pPr>
      <w:r>
        <w:rPr>
          <w:rStyle w:val="Emphasis"/>
        </w:rPr>
        <w:t>6.Увеличете възможностите на компютрите си. ЕАОС инсталира допълнителна памет на всички компютри в офисите си. По този начин животът на компютрите бе удължен с още две години и бе предотвратено изхвърлянето на много електронни отпадъци.</w:t>
      </w:r>
    </w:p>
    <w:p>
      <w:pPr>
        <w:pStyle w:val="Quote"/>
        <w:spacing w:lineRule="auto" w:line="240"/>
        <w:rPr>
          <w:rStyle w:val="Emphasis"/>
        </w:rPr>
      </w:pPr>
      <w:r>
        <w:rPr>
          <w:rStyle w:val="Emphasis"/>
        </w:rPr>
        <w:t>7.При възможност - оползотворяване на нещата, които смятаме да изхвърлим. Много от продуктите , които изхвърляме могат да намерят друго приложение с малко творчески подход, сръчност и въображение.В интернет има много идеи  от типа на „от нищо –нещо” и „направи си сам” , които могат да ни вдъхновят да измайсторим шедьовър от непотребни вещи. Ето няколко идеи под надслов  „Боклука е провала на въображението” :</w:t>
      </w:r>
    </w:p>
    <w:p>
      <w:pPr>
        <w:pStyle w:val="Quote"/>
        <w:spacing w:lineRule="auto" w:line="240"/>
        <w:rPr>
          <w:rStyle w:val="Emphasis"/>
        </w:rPr>
      </w:pPr>
      <w:r>
        <w:rPr>
          <w:rStyle w:val="Emphasis"/>
        </w:rPr>
        <w:t xml:space="preserve">А.Изгорелите крушки могат да се превърнат в страхотна коледна украса </w:t>
      </w:r>
    </w:p>
    <w:p>
      <w:pPr>
        <w:pStyle w:val="Quote"/>
        <w:spacing w:lineRule="auto" w:line="240"/>
        <w:rPr>
          <w:rStyle w:val="Emphasis"/>
        </w:rPr>
      </w:pPr>
      <w:r>
        <w:rPr/>
        <w:drawing>
          <wp:inline distT="0" distB="0" distL="0" distR="0">
            <wp:extent cx="2066925" cy="2066925"/>
            <wp:effectExtent l="0" t="0" r="0" b="0"/>
            <wp:docPr id="8" name="Picture 7" descr="C:\Documents and Settings\Eli\Desktop\krush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Documents and Settings\Eli\Desktop\krushki.jpg"/>
                    <pic:cNvPicPr>
                      <a:picLocks noChangeAspect="1" noChangeArrowheads="1"/>
                    </pic:cNvPicPr>
                  </pic:nvPicPr>
                  <pic:blipFill>
                    <a:blip r:embed="rId9"/>
                    <a:stretch>
                      <a:fillRect/>
                    </a:stretch>
                  </pic:blipFill>
                  <pic:spPr bwMode="auto">
                    <a:xfrm>
                      <a:off x="0" y="0"/>
                      <a:ext cx="2066925" cy="2066925"/>
                    </a:xfrm>
                    <a:prstGeom prst="rect">
                      <a:avLst/>
                    </a:prstGeom>
                  </pic:spPr>
                </pic:pic>
              </a:graphicData>
            </a:graphic>
          </wp:inline>
        </w:drawing>
      </w:r>
    </w:p>
    <w:p>
      <w:pPr>
        <w:pStyle w:val="Quote"/>
        <w:spacing w:lineRule="auto" w:line="240"/>
        <w:rPr>
          <w:rStyle w:val="Emphasis"/>
        </w:rPr>
      </w:pPr>
      <w:r>
        <w:rPr>
          <w:rStyle w:val="Emphasis"/>
        </w:rPr>
        <w:t>Б.Лампа от пластмасови бъркалки? Защо не!</w:t>
      </w:r>
      <w:r>
        <w:rPr/>
        <w:drawing>
          <wp:inline distT="0" distB="0" distL="0" distR="0">
            <wp:extent cx="4210050" cy="2572385"/>
            <wp:effectExtent l="0" t="0" r="0" b="0"/>
            <wp:docPr id="9" name="Picture 8" descr="C:\Documents and Settings\Eli\Desktop\1sp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Documents and Settings\Eli\Desktop\1spoon.jpg"/>
                    <pic:cNvPicPr>
                      <a:picLocks noChangeAspect="1" noChangeArrowheads="1"/>
                    </pic:cNvPicPr>
                  </pic:nvPicPr>
                  <pic:blipFill>
                    <a:blip r:embed="rId10"/>
                    <a:stretch>
                      <a:fillRect/>
                    </a:stretch>
                  </pic:blipFill>
                  <pic:spPr bwMode="auto">
                    <a:xfrm>
                      <a:off x="0" y="0"/>
                      <a:ext cx="4210050" cy="2572385"/>
                    </a:xfrm>
                    <a:prstGeom prst="rect">
                      <a:avLst/>
                    </a:prstGeom>
                  </pic:spPr>
                </pic:pic>
              </a:graphicData>
            </a:graphic>
          </wp:inline>
        </w:drawing>
      </w:r>
    </w:p>
    <w:p>
      <w:pPr>
        <w:pStyle w:val="Quote"/>
        <w:spacing w:lineRule="auto" w:line="240"/>
        <w:rPr>
          <w:rStyle w:val="Emphasis"/>
        </w:rPr>
      </w:pPr>
      <w:r>
        <w:rPr>
          <w:rStyle w:val="Emphasis"/>
        </w:rPr>
        <w:t>В.От грамофонни плочи</w:t>
      </w:r>
    </w:p>
    <w:p>
      <w:pPr>
        <w:pStyle w:val="Quote"/>
        <w:spacing w:lineRule="auto" w:line="240"/>
        <w:rPr>
          <w:rStyle w:val="Emphasis"/>
        </w:rPr>
      </w:pPr>
      <w:r>
        <w:rPr/>
        <w:drawing>
          <wp:inline distT="0" distB="0" distL="0" distR="0">
            <wp:extent cx="2552700" cy="2172970"/>
            <wp:effectExtent l="0" t="0" r="0" b="0"/>
            <wp:docPr id="10" name="Picture 9" descr="C:\Documents and Settings\Eli\Desktop\recordbook3_l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Documents and Settings\Eli\Desktop\recordbook3_lg.jpg"/>
                    <pic:cNvPicPr>
                      <a:picLocks noChangeAspect="1" noChangeArrowheads="1"/>
                    </pic:cNvPicPr>
                  </pic:nvPicPr>
                  <pic:blipFill>
                    <a:blip r:embed="rId11"/>
                    <a:stretch>
                      <a:fillRect/>
                    </a:stretch>
                  </pic:blipFill>
                  <pic:spPr bwMode="auto">
                    <a:xfrm>
                      <a:off x="0" y="0"/>
                      <a:ext cx="2552700" cy="2172970"/>
                    </a:xfrm>
                    <a:prstGeom prst="rect">
                      <a:avLst/>
                    </a:prstGeom>
                  </pic:spPr>
                </pic:pic>
              </a:graphicData>
            </a:graphic>
          </wp:inline>
        </w:drawing>
      </w:r>
      <w:r>
        <w:rPr/>
        <w:drawing>
          <wp:inline distT="0" distB="0" distL="0" distR="0">
            <wp:extent cx="2706370" cy="2381250"/>
            <wp:effectExtent l="0" t="0" r="0" b="0"/>
            <wp:docPr id="11" name="Picture 10" descr="C:\Documents and Settings\Eli\Desktop\scrap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Documents and Settings\Eli\Desktop\scrapon2.jpg"/>
                    <pic:cNvPicPr>
                      <a:picLocks noChangeAspect="1" noChangeArrowheads="1"/>
                    </pic:cNvPicPr>
                  </pic:nvPicPr>
                  <pic:blipFill>
                    <a:blip r:embed="rId12"/>
                    <a:stretch>
                      <a:fillRect/>
                    </a:stretch>
                  </pic:blipFill>
                  <pic:spPr bwMode="auto">
                    <a:xfrm>
                      <a:off x="0" y="0"/>
                      <a:ext cx="2706370" cy="2381250"/>
                    </a:xfrm>
                    <a:prstGeom prst="rect">
                      <a:avLst/>
                    </a:prstGeom>
                  </pic:spPr>
                </pic:pic>
              </a:graphicData>
            </a:graphic>
          </wp:inline>
        </w:drawing>
      </w:r>
    </w:p>
    <w:p>
      <w:pPr>
        <w:pStyle w:val="Quote"/>
        <w:spacing w:lineRule="auto" w:line="240"/>
        <w:rPr>
          <w:rStyle w:val="Emphasis"/>
        </w:rPr>
      </w:pPr>
      <w:r>
        <w:rPr>
          <w:rStyle w:val="Emphasis"/>
        </w:rPr>
        <w:t>Г.Шарени бутилки за декорация или  подарък</w:t>
      </w:r>
    </w:p>
    <w:p>
      <w:pPr>
        <w:pStyle w:val="Quote"/>
        <w:spacing w:lineRule="auto" w:line="240"/>
        <w:rPr>
          <w:rStyle w:val="Emphasis"/>
        </w:rPr>
      </w:pPr>
      <w:r>
        <w:rPr/>
      </w:r>
    </w:p>
    <w:p>
      <w:pPr>
        <w:pStyle w:val="Quote"/>
        <w:spacing w:lineRule="auto" w:line="240"/>
        <w:rPr>
          <w:rStyle w:val="Emphasis"/>
        </w:rPr>
      </w:pPr>
      <w:r>
        <w:rPr/>
      </w:r>
    </w:p>
    <w:p>
      <w:pPr>
        <w:pStyle w:val="Quote"/>
        <w:spacing w:lineRule="auto" w:line="240"/>
        <w:rPr>
          <w:rStyle w:val="Emphasis"/>
        </w:rPr>
      </w:pPr>
      <w:r>
        <w:rPr/>
        <w:drawing>
          <wp:inline distT="0" distB="0" distL="0" distR="0">
            <wp:extent cx="2133600" cy="2202815"/>
            <wp:effectExtent l="0" t="0" r="0" b="0"/>
            <wp:docPr id="12" name="Picture 1" descr="C:\Documents and Settings\Eli\Desktop\изпити нбу\семинар екологичен мениджмънт\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C:\Documents and Settings\Eli\Desktop\изпити нбу\семинар екологичен мениджмънт\027.jpg"/>
                    <pic:cNvPicPr>
                      <a:picLocks noChangeAspect="1" noChangeArrowheads="1"/>
                    </pic:cNvPicPr>
                  </pic:nvPicPr>
                  <pic:blipFill>
                    <a:blip r:embed="rId13"/>
                    <a:stretch>
                      <a:fillRect/>
                    </a:stretch>
                  </pic:blipFill>
                  <pic:spPr bwMode="auto">
                    <a:xfrm>
                      <a:off x="0" y="0"/>
                      <a:ext cx="2133600" cy="2202815"/>
                    </a:xfrm>
                    <a:prstGeom prst="rect">
                      <a:avLst/>
                    </a:prstGeom>
                  </pic:spPr>
                </pic:pic>
              </a:graphicData>
            </a:graphic>
          </wp:inline>
        </w:drawing>
      </w:r>
    </w:p>
    <w:p>
      <w:pPr>
        <w:pStyle w:val="Quote"/>
        <w:spacing w:lineRule="auto" w:line="240"/>
        <w:rPr>
          <w:rStyle w:val="Emphasis"/>
        </w:rPr>
      </w:pPr>
      <w:r>
        <w:rPr/>
      </w:r>
    </w:p>
    <w:p>
      <w:pPr>
        <w:pStyle w:val="Normal"/>
        <w:rPr>
          <w:b/>
          <w:b/>
        </w:rPr>
      </w:pPr>
      <w:r>
        <w:rPr>
          <w:b/>
          <w:lang w:val="en-US"/>
        </w:rPr>
        <w:t>VIII.</w:t>
      </w:r>
      <w:r>
        <w:rPr>
          <w:b/>
        </w:rPr>
        <w:t>Заключение</w:t>
      </w:r>
    </w:p>
    <w:p>
      <w:pPr>
        <w:pStyle w:val="Normal"/>
        <w:rPr/>
      </w:pPr>
      <w:r>
        <w:rPr/>
        <w:t>В резултат на законодателните инициативи – стартиране на дейности по разделно събиране и оползотворяване на отпадъците, компостиране и др., но въпреки положителните стъпки в тази насока, все още основен метод за обезвреждане на отпадъците в страната ни е депонирането, а големият брой нелегални сметища и масовото замърсяване с битови отпадъци са все още сериозен проблем.</w:t>
      </w:r>
    </w:p>
    <w:p>
      <w:pPr>
        <w:pStyle w:val="Normal"/>
        <w:rPr/>
      </w:pPr>
      <w:r>
        <w:rPr/>
        <w:t>Въпреки това, чрез осъществяването на успешни проекти, финансирани от различни програми, редица общини и неправителствени организации в страната доказаха, че съществуват икономически обосновани и екологични начини за минимизиране, оползотворяване и обезвреждане на отпадъците, приложим на местно, регионално и национално равнища.</w:t>
      </w:r>
    </w:p>
    <w:p>
      <w:pPr>
        <w:pStyle w:val="Quote"/>
        <w:spacing w:lineRule="auto" w:line="240"/>
        <w:rPr>
          <w:rStyle w:val="Emphasis"/>
        </w:rPr>
      </w:pPr>
      <w:r>
        <w:rPr/>
      </w:r>
    </w:p>
    <w:p>
      <w:pPr>
        <w:pStyle w:val="Quote"/>
        <w:spacing w:lineRule="auto" w:line="240"/>
        <w:rPr>
          <w:rStyle w:val="Emphasis"/>
        </w:rPr>
      </w:pPr>
      <w:r>
        <w:rPr/>
      </w:r>
    </w:p>
    <w:p>
      <w:pPr>
        <w:pStyle w:val="Quote"/>
        <w:spacing w:lineRule="auto" w:line="240"/>
        <w:rPr>
          <w:rStyle w:val="Emphasis"/>
          <w:lang w:val="en-US"/>
        </w:rPr>
      </w:pPr>
      <w:r>
        <w:rPr>
          <w:rStyle w:val="Emphasis"/>
        </w:rPr>
        <w:t>Използвана литература:</w:t>
      </w:r>
    </w:p>
    <w:p>
      <w:pPr>
        <w:pStyle w:val="Normal"/>
        <w:rPr>
          <w:lang w:val="en-US"/>
        </w:rPr>
      </w:pPr>
      <w:r>
        <w:rPr>
          <w:lang w:val="en-US"/>
        </w:rPr>
      </w:r>
    </w:p>
    <w:p>
      <w:pPr>
        <w:pStyle w:val="Quote"/>
        <w:spacing w:lineRule="auto" w:line="240"/>
        <w:rPr>
          <w:rStyle w:val="Emphasis"/>
        </w:rPr>
      </w:pPr>
      <w:r>
        <w:rPr>
          <w:rStyle w:val="Emphasis"/>
        </w:rPr>
        <w:t>Интернет страници:</w:t>
      </w:r>
    </w:p>
    <w:p>
      <w:pPr>
        <w:pStyle w:val="Quote"/>
        <w:spacing w:lineRule="auto" w:line="240"/>
        <w:rPr>
          <w:rStyle w:val="Emphasis"/>
        </w:rPr>
      </w:pPr>
      <w:hyperlink r:id="rId14">
        <w:r>
          <w:rPr>
            <w:rStyle w:val="Emphasis"/>
          </w:rPr>
          <w:t>http://www.zurbana.com/products.php?cid=4</w:t>
        </w:r>
      </w:hyperlink>
    </w:p>
    <w:p>
      <w:pPr>
        <w:pStyle w:val="Quote"/>
        <w:spacing w:lineRule="auto" w:line="240"/>
        <w:rPr>
          <w:rStyle w:val="Emphasis"/>
        </w:rPr>
      </w:pPr>
      <w:hyperlink r:id="rId15">
        <w:r>
          <w:rPr>
            <w:rStyle w:val="Emphasis"/>
          </w:rPr>
          <w:t>http://blog.gorichka.bg/?p=3512&amp;l=1</w:t>
        </w:r>
      </w:hyperlink>
    </w:p>
    <w:p>
      <w:pPr>
        <w:pStyle w:val="Quote"/>
        <w:spacing w:lineRule="auto" w:line="240"/>
        <w:rPr>
          <w:rStyle w:val="Emphasis"/>
        </w:rPr>
      </w:pPr>
      <w:hyperlink r:id="rId16">
        <w:r>
          <w:rPr>
            <w:rStyle w:val="Emphasis"/>
          </w:rPr>
          <w:t>http://www.hellorewind.com/</w:t>
        </w:r>
      </w:hyperlink>
    </w:p>
    <w:p>
      <w:pPr>
        <w:pStyle w:val="Quote"/>
        <w:spacing w:lineRule="auto" w:line="240"/>
        <w:rPr>
          <w:rStyle w:val="Emphasis"/>
        </w:rPr>
      </w:pPr>
      <w:r>
        <w:rPr>
          <w:rStyle w:val="Emphasis"/>
        </w:rPr>
        <w:t>http://www.escamastudio.com/</w:t>
      </w:r>
    </w:p>
    <w:p>
      <w:pPr>
        <w:pStyle w:val="Quote"/>
        <w:spacing w:lineRule="auto" w:line="240"/>
        <w:rPr>
          <w:rStyle w:val="Emphasis"/>
        </w:rPr>
      </w:pPr>
      <w:hyperlink r:id="rId17">
        <w:r>
          <w:rPr>
            <w:rStyle w:val="Emphasis"/>
          </w:rPr>
          <w:t>http://www.geo-bg.bg/ekologiya/chanti-i-aksesoari-ot-stari-vestnici</w:t>
        </w:r>
      </w:hyperlink>
    </w:p>
    <w:p>
      <w:pPr>
        <w:pStyle w:val="Quote"/>
        <w:spacing w:lineRule="auto" w:line="240"/>
        <w:rPr>
          <w:rStyle w:val="Emphasis"/>
        </w:rPr>
      </w:pPr>
      <w:hyperlink r:id="rId18">
        <w:r>
          <w:rPr>
            <w:rStyle w:val="Emphasis"/>
          </w:rPr>
          <w:t>http://www.geo-bg.bg/ekologiya/fakti-za-recikliraneto</w:t>
        </w:r>
      </w:hyperlink>
    </w:p>
    <w:p>
      <w:pPr>
        <w:pStyle w:val="Quote"/>
        <w:spacing w:lineRule="auto" w:line="240"/>
        <w:rPr>
          <w:rStyle w:val="Emphasis"/>
        </w:rPr>
      </w:pPr>
      <w:hyperlink r:id="rId19">
        <w:r>
          <w:rPr>
            <w:rStyle w:val="Emphasis"/>
          </w:rPr>
          <w:t>http://www.bar-bg.org/index.php?ul=7</w:t>
        </w:r>
      </w:hyperlink>
    </w:p>
    <w:p>
      <w:pPr>
        <w:pStyle w:val="Quote"/>
        <w:spacing w:lineRule="auto" w:line="240"/>
        <w:rPr>
          <w:rStyle w:val="Emphasis"/>
        </w:rPr>
      </w:pPr>
      <w:hyperlink r:id="rId20">
        <w:r>
          <w:rPr>
            <w:rStyle w:val="Emphasis"/>
          </w:rPr>
          <w:t>http://www.ecopack.bg/bg/learn.php?about=10</w:t>
        </w:r>
      </w:hyperlink>
    </w:p>
    <w:p>
      <w:pPr>
        <w:pStyle w:val="Quote"/>
        <w:spacing w:lineRule="auto" w:line="240"/>
        <w:rPr>
          <w:rStyle w:val="Emphasis"/>
        </w:rPr>
      </w:pPr>
      <w:hyperlink r:id="rId21">
        <w:r>
          <w:rPr>
            <w:rStyle w:val="Emphasis"/>
          </w:rPr>
          <w:t>http://zazemiata.org/v1/Reciklirne.291.0.html</w:t>
        </w:r>
      </w:hyperlink>
    </w:p>
    <w:p>
      <w:pPr>
        <w:pStyle w:val="Quote"/>
        <w:spacing w:lineRule="auto" w:line="240"/>
        <w:rPr>
          <w:rStyle w:val="Emphasis"/>
        </w:rPr>
      </w:pPr>
      <w:hyperlink r:id="rId22">
        <w:r>
          <w:rPr>
            <w:rStyle w:val="Emphasis"/>
          </w:rPr>
          <w:t>http://www.napravisam.bg/forum/</w:t>
        </w:r>
      </w:hyperlink>
    </w:p>
    <w:p>
      <w:pPr>
        <w:pStyle w:val="Quote"/>
        <w:spacing w:lineRule="auto" w:line="240"/>
        <w:rPr>
          <w:rStyle w:val="Emphasis"/>
        </w:rPr>
      </w:pPr>
      <w:hyperlink r:id="rId23">
        <w:r>
          <w:rPr>
            <w:rStyle w:val="Emphasis"/>
          </w:rPr>
          <w:t>http://www.sliven.bg/doc/Announ/Programa_OPUO_2009-2013.pdf</w:t>
        </w:r>
      </w:hyperlink>
    </w:p>
    <w:p>
      <w:pPr>
        <w:pStyle w:val="Quote"/>
        <w:spacing w:lineRule="auto" w:line="240"/>
        <w:rPr>
          <w:rStyle w:val="Emphasis"/>
        </w:rPr>
      </w:pPr>
      <w:hyperlink r:id="rId24">
        <w:r>
          <w:rPr>
            <w:rStyle w:val="Emphasis"/>
          </w:rPr>
          <w:t>http://www.biocorpaavc.com/</w:t>
        </w:r>
      </w:hyperlink>
    </w:p>
    <w:p>
      <w:pPr>
        <w:pStyle w:val="Quote"/>
        <w:spacing w:lineRule="auto" w:line="240"/>
        <w:rPr>
          <w:rStyle w:val="Emphasis"/>
        </w:rPr>
      </w:pPr>
      <w:r>
        <w:rPr/>
      </w:r>
    </w:p>
    <w:p>
      <w:pPr>
        <w:pStyle w:val="Quote"/>
        <w:spacing w:lineRule="auto" w:line="240"/>
        <w:rPr>
          <w:rStyle w:val="Emphasis"/>
        </w:rPr>
      </w:pPr>
      <w:r>
        <w:rPr>
          <w:rStyle w:val="Emphasis"/>
        </w:rPr>
        <w:t>Печатни издания:</w:t>
      </w:r>
    </w:p>
    <w:p>
      <w:pPr>
        <w:pStyle w:val="Quote"/>
        <w:spacing w:lineRule="auto" w:line="240"/>
        <w:rPr>
          <w:rStyle w:val="Emphasis"/>
        </w:rPr>
      </w:pPr>
      <w:r>
        <w:rPr>
          <w:rStyle w:val="Emphasis"/>
        </w:rPr>
        <w:t>“</w:t>
      </w:r>
      <w:r>
        <w:rPr>
          <w:rStyle w:val="Emphasis"/>
        </w:rPr>
        <w:t>За чиста околна среда” Министерство на околната среда и водите</w:t>
      </w:r>
    </w:p>
    <w:p>
      <w:pPr>
        <w:pStyle w:val="Quote"/>
        <w:spacing w:lineRule="auto" w:line="240"/>
        <w:rPr>
          <w:rStyle w:val="Emphasis"/>
        </w:rPr>
      </w:pPr>
      <w:r>
        <w:rPr>
          <w:rStyle w:val="Emphasis"/>
        </w:rPr>
        <w:t>„</w:t>
      </w:r>
      <w:r>
        <w:rPr>
          <w:rStyle w:val="Emphasis"/>
        </w:rPr>
        <w:t>Методи за третиране и оползотворяване на твърди битови отпадъци” Автори  проф. д-р инж. Йончо Пеловски, проф. д-р инж. Иван Домбалов, доц. д-р инж. Екатерина Тодорова</w:t>
      </w:r>
    </w:p>
    <w:p>
      <w:pPr>
        <w:pStyle w:val="Quote"/>
        <w:spacing w:lineRule="auto" w:line="240"/>
        <w:rPr>
          <w:rStyle w:val="Emphasis"/>
        </w:rPr>
      </w:pPr>
      <w:r>
        <w:rPr>
          <w:rStyle w:val="Emphasis"/>
        </w:rPr>
        <w:t>„</w:t>
      </w:r>
      <w:r>
        <w:rPr>
          <w:rStyle w:val="Emphasis"/>
        </w:rPr>
        <w:t>Проект на стратегия за устойчиво развитие на Република България” Министерство на околната среда и водите</w:t>
      </w:r>
    </w:p>
    <w:p>
      <w:pPr>
        <w:pStyle w:val="Quote"/>
        <w:spacing w:lineRule="auto" w:line="240"/>
        <w:rPr>
          <w:rStyle w:val="Emphasis"/>
          <w:lang w:val="en-US"/>
        </w:rPr>
      </w:pPr>
      <w:r>
        <w:rPr>
          <w:rStyle w:val="Emphasis"/>
        </w:rPr>
        <w:t>„</w:t>
      </w:r>
      <w:r>
        <w:rPr>
          <w:rStyle w:val="Emphasis"/>
        </w:rPr>
        <w:t>Национална програма  за управление на дейностите  по отпадъците  за периода 2009-2013г.” Министерство на околната среда и водите</w:t>
      </w:r>
    </w:p>
    <w:p>
      <w:pPr>
        <w:pStyle w:val="Normal"/>
        <w:rPr>
          <w:lang w:val="en-US"/>
        </w:rPr>
      </w:pPr>
      <w:r>
        <w:rPr>
          <w:lang w:val="en-US"/>
        </w:rPr>
      </w:r>
    </w:p>
    <w:p>
      <w:pPr>
        <w:pStyle w:val="Quote"/>
        <w:spacing w:lineRule="auto" w:line="240"/>
        <w:rPr>
          <w:rStyle w:val="Emphasis"/>
        </w:rPr>
      </w:pPr>
      <w:r>
        <w:rPr/>
      </w:r>
    </w:p>
    <w:p>
      <w:pPr>
        <w:pStyle w:val="Quote"/>
        <w:spacing w:lineRule="auto" w:line="240"/>
        <w:rPr>
          <w:rStyle w:val="Emphasis"/>
        </w:rPr>
      </w:pPr>
      <w:r>
        <w:rPr/>
      </w:r>
    </w:p>
    <w:p>
      <w:pPr>
        <w:pStyle w:val="Quote"/>
        <w:spacing w:lineRule="auto" w:line="240"/>
        <w:rPr>
          <w:rStyle w:val="Emphasis"/>
        </w:rPr>
      </w:pPr>
      <w:r>
        <w:rPr/>
      </w:r>
    </w:p>
    <w:p>
      <w:pPr>
        <w:pStyle w:val="Quote"/>
        <w:spacing w:lineRule="auto" w:line="240"/>
        <w:rPr>
          <w:rStyle w:val="Emphasis"/>
        </w:rPr>
      </w:pPr>
      <w:r>
        <w:rPr/>
      </w:r>
    </w:p>
    <w:p>
      <w:pPr>
        <w:pStyle w:val="Quote"/>
        <w:spacing w:lineRule="auto" w:line="240"/>
        <w:rPr>
          <w:rStyle w:val="Emphasis"/>
        </w:rPr>
      </w:pPr>
      <w:r>
        <w:rPr/>
      </w:r>
    </w:p>
    <w:p>
      <w:pPr>
        <w:pStyle w:val="Quote"/>
        <w:spacing w:lineRule="auto" w:line="240" w:before="0" w:after="200"/>
        <w:rPr>
          <w:rStyle w:val="Emphasis"/>
        </w:rPr>
      </w:pPr>
      <w:r>
        <w:rPr/>
      </w:r>
    </w:p>
    <w:sectPr>
      <w:footerReference w:type="default" r:id="rId25"/>
      <w:type w:val="nextPage"/>
      <w:pgSz w:w="11906" w:h="16838"/>
      <w:pgMar w:left="1417" w:right="1417" w:gutter="0" w:header="0"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Arial">
    <w:charset w:val="01"/>
    <w:family w:val="roman"/>
    <w:pitch w:val="variable"/>
  </w:font>
  <w:font w:name="Arial">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27912306"/>
    </w:sdtPr>
    <w:sdtContent>
      <w:p>
        <w:pPr>
          <w:pStyle w:val="Footer"/>
          <w:jc w:val="right"/>
          <w:rPr/>
        </w:pPr>
        <w:r>
          <w:rPr/>
          <w:fldChar w:fldCharType="begin"/>
        </w:r>
        <w:r>
          <w:rPr/>
          <w:instrText> PAGE </w:instrText>
        </w:r>
        <w:r>
          <w:rPr/>
          <w:fldChar w:fldCharType="separate"/>
        </w:r>
        <w:r>
          <w:rPr/>
          <w:t>14</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left"/>
      <w:pPr>
        <w:tabs>
          <w:tab w:val="num" w:pos="0"/>
        </w:tabs>
        <w:ind w:left="0" w:hanging="0"/>
      </w:pPr>
    </w:lvl>
    <w:lvl w:ilvl="1">
      <w:start w:val="1"/>
      <w:numFmt w:val="upperLetter"/>
      <w:lvlText w:val="%2."/>
      <w:lvlJc w:val="left"/>
      <w:pPr>
        <w:tabs>
          <w:tab w:val="num" w:pos="0"/>
        </w:tabs>
        <w:ind w:left="720" w:hanging="0"/>
      </w:pPr>
    </w:lvl>
    <w:lvl w:ilvl="2">
      <w:start w:val="1"/>
      <w:numFmt w:val="decimal"/>
      <w:lvlText w:val="%3."/>
      <w:lvlJc w:val="left"/>
      <w:pPr>
        <w:tabs>
          <w:tab w:val="num" w:pos="0"/>
        </w:tabs>
        <w:ind w:left="1440" w:hanging="0"/>
      </w:pPr>
    </w:lvl>
    <w:lvl w:ilvl="3">
      <w:start w:val="1"/>
      <w:numFmt w:val="lowerLetter"/>
      <w:lvlText w:val="%4)"/>
      <w:lvlJc w:val="left"/>
      <w:pPr>
        <w:tabs>
          <w:tab w:val="num" w:pos="0"/>
        </w:tabs>
        <w:ind w:left="2160" w:hanging="0"/>
      </w:pPr>
    </w:lvl>
    <w:lvl w:ilvl="4">
      <w:start w:val="1"/>
      <w:numFmt w:val="decimal"/>
      <w:lvlText w:val="(%5)"/>
      <w:lvlJc w:val="left"/>
      <w:pPr>
        <w:tabs>
          <w:tab w:val="num" w:pos="0"/>
        </w:tabs>
        <w:ind w:left="2880" w:hanging="0"/>
      </w:pPr>
    </w:lvl>
    <w:lvl w:ilvl="5">
      <w:start w:val="1"/>
      <w:numFmt w:val="lowerLetter"/>
      <w:lvlText w:val="(%6)"/>
      <w:lvlJc w:val="left"/>
      <w:pPr>
        <w:tabs>
          <w:tab w:val="num" w:pos="0"/>
        </w:tabs>
        <w:ind w:left="3600" w:hanging="0"/>
      </w:pPr>
    </w:lvl>
    <w:lvl w:ilvl="6">
      <w:start w:val="1"/>
      <w:numFmt w:val="lowerRoman"/>
      <w:lvlText w:val="(%7)"/>
      <w:lvlJc w:val="left"/>
      <w:pPr>
        <w:tabs>
          <w:tab w:val="num" w:pos="0"/>
        </w:tabs>
        <w:ind w:left="4320" w:hanging="0"/>
      </w:pPr>
    </w:lvl>
    <w:lvl w:ilvl="7">
      <w:start w:val="1"/>
      <w:numFmt w:val="lowerLetter"/>
      <w:lvlText w:val="(%8)"/>
      <w:lvlJc w:val="left"/>
      <w:pPr>
        <w:tabs>
          <w:tab w:val="num" w:pos="0"/>
        </w:tabs>
        <w:ind w:left="5040" w:hanging="0"/>
      </w:pPr>
    </w:lvl>
    <w:lvl w:ilvl="8">
      <w:start w:val="1"/>
      <w:numFmt w:val="lowerRoman"/>
      <w:lvlText w:val="(%9)"/>
      <w:lvlJc w:val="left"/>
      <w:pPr>
        <w:tabs>
          <w:tab w:val="num" w:pos="0"/>
        </w:tabs>
        <w:ind w:left="576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6471e"/>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paragraph" w:styleId="Heading2">
    <w:name w:val="Heading 2"/>
    <w:basedOn w:val="Normal"/>
    <w:link w:val="Heading2Char"/>
    <w:uiPriority w:val="9"/>
    <w:qFormat/>
    <w:rsid w:val="002c2804"/>
    <w:pPr>
      <w:spacing w:lineRule="auto" w:line="240" w:beforeAutospacing="1" w:afterAutospacing="1"/>
      <w:outlineLvl w:val="1"/>
    </w:pPr>
    <w:rPr>
      <w:rFonts w:ascii="Times New Roman" w:hAnsi="Times New Roman" w:eastAsia="Times New Roman" w:cs="Times New Roman"/>
      <w:b/>
      <w:bCs/>
      <w:sz w:val="36"/>
      <w:szCs w:val="36"/>
      <w:lang w:eastAsia="bg-BG"/>
    </w:rPr>
  </w:style>
  <w:style w:type="paragraph" w:styleId="Heading3">
    <w:name w:val="Heading 3"/>
    <w:basedOn w:val="Normal"/>
    <w:next w:val="Normal"/>
    <w:link w:val="Heading3Char"/>
    <w:uiPriority w:val="9"/>
    <w:semiHidden/>
    <w:unhideWhenUsed/>
    <w:qFormat/>
    <w:rsid w:val="007615e7"/>
    <w:pPr>
      <w:keepNext w:val="true"/>
      <w:keepLines/>
      <w:spacing w:before="200" w:after="0"/>
      <w:outlineLvl w:val="2"/>
    </w:pPr>
    <w:rPr>
      <w:rFonts w:ascii="Cambria" w:hAnsi="Cambria" w:eastAsia="" w:cs="" w:asciiTheme="majorHAnsi" w:cstheme="majorBidi" w:eastAsiaTheme="majorEastAsia" w:hAnsiTheme="majorHAnsi"/>
      <w:b/>
      <w:bCs/>
      <w:color w:val="4F81BD" w:themeColor="accent1"/>
    </w:rPr>
  </w:style>
  <w:style w:type="character" w:styleId="DefaultParagraphFont" w:default="1">
    <w:name w:val="Default Paragraph Font"/>
    <w:uiPriority w:val="1"/>
    <w:semiHidden/>
    <w:unhideWhenUsed/>
    <w:qFormat/>
    <w:rPr/>
  </w:style>
  <w:style w:type="character" w:styleId="Label" w:customStyle="1">
    <w:name w:val="label"/>
    <w:basedOn w:val="DefaultParagraphFont"/>
    <w:qFormat/>
    <w:rsid w:val="00a156d3"/>
    <w:rPr/>
  </w:style>
  <w:style w:type="character" w:styleId="InternetLink">
    <w:name w:val="Hyperlink"/>
    <w:basedOn w:val="DefaultParagraphFont"/>
    <w:uiPriority w:val="99"/>
    <w:unhideWhenUsed/>
    <w:rsid w:val="003720c1"/>
    <w:rPr>
      <w:color w:val="0000FF" w:themeColor="hyperlink"/>
      <w:u w:val="single"/>
    </w:rPr>
  </w:style>
  <w:style w:type="character" w:styleId="BodyTextChar" w:customStyle="1">
    <w:name w:val="Body Text Char"/>
    <w:basedOn w:val="DefaultParagraphFont"/>
    <w:link w:val="BodyText"/>
    <w:qFormat/>
    <w:rsid w:val="00a4320c"/>
    <w:rPr>
      <w:rFonts w:ascii="Times New Roman" w:hAnsi="Times New Roman" w:eastAsia="Times New Roman" w:cs="Times New Roman"/>
      <w:sz w:val="24"/>
      <w:szCs w:val="20"/>
      <w:lang w:eastAsia="bg-BG"/>
    </w:rPr>
  </w:style>
  <w:style w:type="character" w:styleId="Heading2Char" w:customStyle="1">
    <w:name w:val="Heading 2 Char"/>
    <w:basedOn w:val="DefaultParagraphFont"/>
    <w:link w:val="Heading2"/>
    <w:uiPriority w:val="9"/>
    <w:qFormat/>
    <w:rsid w:val="002c2804"/>
    <w:rPr>
      <w:rFonts w:ascii="Times New Roman" w:hAnsi="Times New Roman" w:eastAsia="Times New Roman" w:cs="Times New Roman"/>
      <w:b/>
      <w:bCs/>
      <w:sz w:val="36"/>
      <w:szCs w:val="36"/>
      <w:lang w:eastAsia="bg-BG"/>
    </w:rPr>
  </w:style>
  <w:style w:type="character" w:styleId="Heading3Char" w:customStyle="1">
    <w:name w:val="Heading 3 Char"/>
    <w:basedOn w:val="DefaultParagraphFont"/>
    <w:link w:val="Heading3"/>
    <w:uiPriority w:val="9"/>
    <w:semiHidden/>
    <w:qFormat/>
    <w:rsid w:val="007615e7"/>
    <w:rPr>
      <w:rFonts w:ascii="Cambria" w:hAnsi="Cambria" w:eastAsia="" w:cs="" w:asciiTheme="majorHAnsi" w:cstheme="majorBidi" w:eastAsiaTheme="majorEastAsia" w:hAnsiTheme="majorHAnsi"/>
      <w:b/>
      <w:bCs/>
      <w:color w:val="4F81BD" w:themeColor="accent1"/>
    </w:rPr>
  </w:style>
  <w:style w:type="character" w:styleId="BalloonTextChar" w:customStyle="1">
    <w:name w:val="Balloon Text Char"/>
    <w:basedOn w:val="DefaultParagraphFont"/>
    <w:link w:val="BalloonText"/>
    <w:uiPriority w:val="99"/>
    <w:semiHidden/>
    <w:qFormat/>
    <w:rsid w:val="00853a62"/>
    <w:rPr>
      <w:rFonts w:ascii="Tahoma" w:hAnsi="Tahoma" w:cs="Tahoma"/>
      <w:sz w:val="16"/>
      <w:szCs w:val="16"/>
    </w:rPr>
  </w:style>
  <w:style w:type="character" w:styleId="Emphasis">
    <w:name w:val="Emphasis"/>
    <w:basedOn w:val="DefaultParagraphFont"/>
    <w:uiPriority w:val="20"/>
    <w:qFormat/>
    <w:rsid w:val="002010bf"/>
    <w:rPr>
      <w:i/>
      <w:iCs/>
    </w:rPr>
  </w:style>
  <w:style w:type="character" w:styleId="Contenttypeecotip" w:customStyle="1">
    <w:name w:val="contenttype-ecotip"/>
    <w:basedOn w:val="DefaultParagraphFont"/>
    <w:qFormat/>
    <w:rsid w:val="009b295c"/>
    <w:rPr/>
  </w:style>
  <w:style w:type="character" w:styleId="QuoteChar" w:customStyle="1">
    <w:name w:val="Quote Char"/>
    <w:basedOn w:val="DefaultParagraphFont"/>
    <w:link w:val="Quote"/>
    <w:uiPriority w:val="29"/>
    <w:qFormat/>
    <w:rsid w:val="00c06903"/>
    <w:rPr>
      <w:i/>
      <w:iCs/>
      <w:color w:val="000000" w:themeColor="text1"/>
    </w:rPr>
  </w:style>
  <w:style w:type="character" w:styleId="HeaderChar" w:customStyle="1">
    <w:name w:val="Header Char"/>
    <w:basedOn w:val="DefaultParagraphFont"/>
    <w:link w:val="Header"/>
    <w:uiPriority w:val="99"/>
    <w:semiHidden/>
    <w:qFormat/>
    <w:rsid w:val="00115425"/>
    <w:rPr/>
  </w:style>
  <w:style w:type="character" w:styleId="FooterChar" w:customStyle="1">
    <w:name w:val="Footer Char"/>
    <w:basedOn w:val="DefaultParagraphFont"/>
    <w:link w:val="Footer"/>
    <w:uiPriority w:val="99"/>
    <w:qFormat/>
    <w:rsid w:val="00115425"/>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link w:val="BodyTextChar"/>
    <w:rsid w:val="00a4320c"/>
    <w:pPr>
      <w:spacing w:lineRule="auto" w:line="240" w:before="0" w:after="0"/>
      <w:jc w:val="both"/>
    </w:pPr>
    <w:rPr>
      <w:rFonts w:ascii="Times New Roman" w:hAnsi="Times New Roman" w:eastAsia="Times New Roman" w:cs="Times New Roman"/>
      <w:sz w:val="24"/>
      <w:szCs w:val="20"/>
      <w:lang w:eastAsia="bg-BG"/>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NormalWeb">
    <w:name w:val="Normal (Web)"/>
    <w:basedOn w:val="Normal"/>
    <w:uiPriority w:val="99"/>
    <w:semiHidden/>
    <w:unhideWhenUsed/>
    <w:qFormat/>
    <w:rsid w:val="00a156d3"/>
    <w:pPr>
      <w:spacing w:lineRule="auto" w:line="240" w:beforeAutospacing="1" w:afterAutospacing="1"/>
    </w:pPr>
    <w:rPr>
      <w:rFonts w:ascii="Times New Roman" w:hAnsi="Times New Roman" w:eastAsia="Times New Roman" w:cs="Times New Roman"/>
      <w:sz w:val="24"/>
      <w:szCs w:val="24"/>
      <w:lang w:eastAsia="bg-BG"/>
    </w:rPr>
  </w:style>
  <w:style w:type="paragraph" w:styleId="ListParagraph">
    <w:name w:val="List Paragraph"/>
    <w:basedOn w:val="Normal"/>
    <w:uiPriority w:val="34"/>
    <w:qFormat/>
    <w:rsid w:val="00164df8"/>
    <w:pPr>
      <w:spacing w:before="0" w:after="200"/>
      <w:ind w:left="720" w:hanging="0"/>
      <w:contextualSpacing/>
    </w:pPr>
    <w:rPr/>
  </w:style>
  <w:style w:type="paragraph" w:styleId="Default" w:customStyle="1">
    <w:name w:val="Default"/>
    <w:qFormat/>
    <w:rsid w:val="001b296e"/>
    <w:pPr>
      <w:widowControl/>
      <w:bidi w:val="0"/>
      <w:spacing w:lineRule="auto" w:line="240" w:before="0" w:after="0"/>
      <w:jc w:val="left"/>
    </w:pPr>
    <w:rPr>
      <w:rFonts w:ascii="Times New Roman" w:hAnsi="Times New Roman" w:cs="Times New Roman" w:eastAsia="Calibri"/>
      <w:color w:val="000000"/>
      <w:kern w:val="0"/>
      <w:sz w:val="24"/>
      <w:szCs w:val="24"/>
      <w:lang w:val="bg-BG" w:eastAsia="en-US" w:bidi="ar-SA"/>
    </w:rPr>
  </w:style>
  <w:style w:type="paragraph" w:styleId="BalloonText">
    <w:name w:val="Balloon Text"/>
    <w:basedOn w:val="Normal"/>
    <w:link w:val="BalloonTextChar"/>
    <w:uiPriority w:val="99"/>
    <w:semiHidden/>
    <w:unhideWhenUsed/>
    <w:qFormat/>
    <w:rsid w:val="00853a62"/>
    <w:pPr>
      <w:spacing w:lineRule="auto" w:line="240" w:before="0" w:after="0"/>
    </w:pPr>
    <w:rPr>
      <w:rFonts w:ascii="Tahoma" w:hAnsi="Tahoma" w:cs="Tahoma"/>
      <w:sz w:val="16"/>
      <w:szCs w:val="16"/>
    </w:rPr>
  </w:style>
  <w:style w:type="paragraph" w:styleId="1" w:customStyle="1">
    <w:name w:val="Заглавие 1"/>
    <w:basedOn w:val="Normal"/>
    <w:qFormat/>
    <w:rsid w:val="00cb65e5"/>
    <w:pPr>
      <w:numPr>
        <w:ilvl w:val="0"/>
        <w:numId w:val="1"/>
      </w:numPr>
    </w:pPr>
    <w:rPr/>
  </w:style>
  <w:style w:type="paragraph" w:styleId="2" w:customStyle="1">
    <w:name w:val="Заглавие 2"/>
    <w:basedOn w:val="Normal"/>
    <w:qFormat/>
    <w:rsid w:val="00cb65e5"/>
    <w:pPr>
      <w:numPr>
        <w:ilvl w:val="0"/>
        <w:numId w:val="1"/>
      </w:numPr>
    </w:pPr>
    <w:rPr/>
  </w:style>
  <w:style w:type="paragraph" w:styleId="3" w:customStyle="1">
    <w:name w:val="Заглавие 3"/>
    <w:basedOn w:val="Normal"/>
    <w:qFormat/>
    <w:rsid w:val="00cb65e5"/>
    <w:pPr>
      <w:numPr>
        <w:ilvl w:val="0"/>
        <w:numId w:val="1"/>
      </w:numPr>
    </w:pPr>
    <w:rPr/>
  </w:style>
  <w:style w:type="paragraph" w:styleId="4" w:customStyle="1">
    <w:name w:val="Заглавие 4"/>
    <w:basedOn w:val="Normal"/>
    <w:qFormat/>
    <w:rsid w:val="00cb65e5"/>
    <w:pPr>
      <w:numPr>
        <w:ilvl w:val="0"/>
        <w:numId w:val="1"/>
      </w:numPr>
    </w:pPr>
    <w:rPr/>
  </w:style>
  <w:style w:type="paragraph" w:styleId="5" w:customStyle="1">
    <w:name w:val="Заглавие 5"/>
    <w:basedOn w:val="Normal"/>
    <w:qFormat/>
    <w:rsid w:val="00cb65e5"/>
    <w:pPr>
      <w:numPr>
        <w:ilvl w:val="0"/>
        <w:numId w:val="1"/>
      </w:numPr>
    </w:pPr>
    <w:rPr/>
  </w:style>
  <w:style w:type="paragraph" w:styleId="6" w:customStyle="1">
    <w:name w:val="Заглавие 6"/>
    <w:basedOn w:val="Normal"/>
    <w:qFormat/>
    <w:rsid w:val="00cb65e5"/>
    <w:pPr>
      <w:numPr>
        <w:ilvl w:val="0"/>
        <w:numId w:val="1"/>
      </w:numPr>
    </w:pPr>
    <w:rPr/>
  </w:style>
  <w:style w:type="paragraph" w:styleId="7" w:customStyle="1">
    <w:name w:val="Заглавие 7"/>
    <w:basedOn w:val="Normal"/>
    <w:qFormat/>
    <w:rsid w:val="00cb65e5"/>
    <w:pPr>
      <w:numPr>
        <w:ilvl w:val="0"/>
        <w:numId w:val="1"/>
      </w:numPr>
    </w:pPr>
    <w:rPr/>
  </w:style>
  <w:style w:type="paragraph" w:styleId="8" w:customStyle="1">
    <w:name w:val="Заглавие 8"/>
    <w:basedOn w:val="Normal"/>
    <w:qFormat/>
    <w:rsid w:val="00cb65e5"/>
    <w:pPr>
      <w:numPr>
        <w:ilvl w:val="0"/>
        <w:numId w:val="1"/>
      </w:numPr>
    </w:pPr>
    <w:rPr/>
  </w:style>
  <w:style w:type="paragraph" w:styleId="9" w:customStyle="1">
    <w:name w:val="Заглавие 9"/>
    <w:basedOn w:val="Normal"/>
    <w:qFormat/>
    <w:rsid w:val="00cb65e5"/>
    <w:pPr>
      <w:numPr>
        <w:ilvl w:val="0"/>
        <w:numId w:val="1"/>
      </w:numPr>
    </w:pPr>
    <w:rPr/>
  </w:style>
  <w:style w:type="paragraph" w:styleId="CharCharCharChar" w:customStyle="1">
    <w:name w:val="Char Char Char Char"/>
    <w:basedOn w:val="Normal"/>
    <w:qFormat/>
    <w:rsid w:val="00c57267"/>
    <w:pPr>
      <w:tabs>
        <w:tab w:val="clear" w:pos="708"/>
        <w:tab w:val="left" w:pos="709" w:leader="none"/>
      </w:tabs>
      <w:spacing w:lineRule="auto" w:line="240" w:before="0" w:after="0"/>
    </w:pPr>
    <w:rPr>
      <w:rFonts w:ascii="Tahoma" w:hAnsi="Tahoma" w:eastAsia="Times New Roman" w:cs="Times New Roman"/>
      <w:sz w:val="24"/>
      <w:szCs w:val="24"/>
      <w:lang w:val="pl-PL" w:eastAsia="pl-PL"/>
    </w:rPr>
  </w:style>
  <w:style w:type="paragraph" w:styleId="Quote">
    <w:name w:val="Quote"/>
    <w:basedOn w:val="Normal"/>
    <w:next w:val="Normal"/>
    <w:link w:val="QuoteChar"/>
    <w:uiPriority w:val="29"/>
    <w:qFormat/>
    <w:rsid w:val="00c06903"/>
    <w:pPr/>
    <w:rPr>
      <w:i/>
      <w:iCs/>
      <w:color w:val="000000" w:themeColor="text1"/>
    </w:rPr>
  </w:style>
  <w:style w:type="paragraph" w:styleId="HeaderandFooter">
    <w:name w:val="Header and Footer"/>
    <w:basedOn w:val="Normal"/>
    <w:qFormat/>
    <w:pPr/>
    <w:rPr/>
  </w:style>
  <w:style w:type="paragraph" w:styleId="Header">
    <w:name w:val="Header"/>
    <w:basedOn w:val="Normal"/>
    <w:link w:val="HeaderChar"/>
    <w:uiPriority w:val="99"/>
    <w:semiHidden/>
    <w:unhideWhenUsed/>
    <w:rsid w:val="00115425"/>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115425"/>
    <w:pPr>
      <w:tabs>
        <w:tab w:val="clear" w:pos="708"/>
        <w:tab w:val="center" w:pos="4536" w:leader="none"/>
        <w:tab w:val="right" w:pos="9072"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standalone="no" ?><Relationships xmlns="http://schemas.openxmlformats.org/package/2006/relationships"><Relationship Id="rId1" Target="styles.xml" Type="http://schemas.openxmlformats.org/officeDocument/2006/relationships/styles"/><Relationship Id="rId2" Target="media/image1.jpeg" Type="http://schemas.openxmlformats.org/officeDocument/2006/relationships/image"/><Relationship Id="rId3" Target="media/image2.jpeg" Type="http://schemas.openxmlformats.org/officeDocument/2006/relationships/image"/><Relationship Id="rId4" Target="media/image3.jpeg" Type="http://schemas.openxmlformats.org/officeDocument/2006/relationships/image"/><Relationship Id="rId5" Target="media/image4.jpeg" Type="http://schemas.openxmlformats.org/officeDocument/2006/relationships/image"/><Relationship Id="rId6" Target="media/image5.jpeg" Type="http://schemas.openxmlformats.org/officeDocument/2006/relationships/image"/><Relationship Id="rId7" Target="media/image6.jpeg" Type="http://schemas.openxmlformats.org/officeDocument/2006/relationships/image"/><Relationship Id="rId8" Target="http://www.ecobatterybg.com/" TargetMode="External" Type="http://schemas.openxmlformats.org/officeDocument/2006/relationships/hyperlink"/><Relationship Id="rId9" Target="media/image7.jpeg" Type="http://schemas.openxmlformats.org/officeDocument/2006/relationships/image"/><Relationship Id="rId10" Target="media/image8.jpeg" Type="http://schemas.openxmlformats.org/officeDocument/2006/relationships/image"/><Relationship Id="rId11" Target="media/image9.jpeg" Type="http://schemas.openxmlformats.org/officeDocument/2006/relationships/image"/><Relationship Id="rId12" Target="media/image10.jpeg" Type="http://schemas.openxmlformats.org/officeDocument/2006/relationships/image"/><Relationship Id="rId13" Target="media/image11.jpeg" Type="http://schemas.openxmlformats.org/officeDocument/2006/relationships/image"/><Relationship Id="rId14" Target="http://www.zurbana.com/products.php?cid=4" TargetMode="External" Type="http://schemas.openxmlformats.org/officeDocument/2006/relationships/hyperlink"/><Relationship Id="rId15" Target="http://blog.gorichka.bg/?p=3512&amp;l=1" TargetMode="External" Type="http://schemas.openxmlformats.org/officeDocument/2006/relationships/hyperlink"/><Relationship Id="rId16" Target="http://www.hellorewind.com/" TargetMode="External" Type="http://schemas.openxmlformats.org/officeDocument/2006/relationships/hyperlink"/><Relationship Id="rId17" Target="http://www.geo-bg.bg/ekologiya/chanti-i-aksesoari-ot-stari-vestnici" TargetMode="External" Type="http://schemas.openxmlformats.org/officeDocument/2006/relationships/hyperlink"/><Relationship Id="rId18" Target="http://www.geo-bg.bg/ekologiya/fakti-za-recikliraneto" TargetMode="External" Type="http://schemas.openxmlformats.org/officeDocument/2006/relationships/hyperlink"/><Relationship Id="rId19" Target="http://www.bar-bg.org/index.php?ul=7" TargetMode="External" Type="http://schemas.openxmlformats.org/officeDocument/2006/relationships/hyperlink"/><Relationship Id="rId20" Target="http://www.ecopack.bg/bg/learn.php?about=10" TargetMode="External" Type="http://schemas.openxmlformats.org/officeDocument/2006/relationships/hyperlink"/><Relationship Id="rId21" Target="http://zazemiata.org/v1/Reciklirne.291.0.html" TargetMode="External" Type="http://schemas.openxmlformats.org/officeDocument/2006/relationships/hyperlink"/><Relationship Id="rId22" Target="http://www.napravisam.bg/forum/" TargetMode="External" Type="http://schemas.openxmlformats.org/officeDocument/2006/relationships/hyperlink"/><Relationship Id="rId23" Target="http://www.sliven.bg/doc/Announ/Programa_OPUO_2009-2013.pdf" TargetMode="External" Type="http://schemas.openxmlformats.org/officeDocument/2006/relationships/hyperlink"/><Relationship Id="rId24" Target="http://www.biocorpaavc.com/" TargetMode="External" Type="http://schemas.openxmlformats.org/officeDocument/2006/relationships/hyperlink"/><Relationship Id="rId25" Target="footer1.xml" Type="http://schemas.openxmlformats.org/officeDocument/2006/relationships/footer"/><Relationship Id="rId26" Target="numbering.xml" Type="http://schemas.openxmlformats.org/officeDocument/2006/relationships/numbering"/><Relationship Id="rId27" Target="fontTable.xml" Type="http://schemas.openxmlformats.org/officeDocument/2006/relationships/fontTable"/><Relationship Id="rId28" Target="settings.xml" Type="http://schemas.openxmlformats.org/officeDocument/2006/relationships/settings"/><Relationship Id="rId29" Target="theme/theme1.xml" Type="http://schemas.openxmlformats.org/officeDocument/2006/relationships/theme"/>
</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2638</TotalTime>
  <Application>LibreOffice/7.2.3.2$Linux_X86_64 LibreOffice_project/20$Build-2</Application>
  <AppVersion>15.0000</AppVersion>
  <Pages>14</Pages>
  <Words>2829</Words>
  <Characters>17419</Characters>
  <CharactersWithSpaces>20172</CharactersWithSpaces>
  <Paragraphs>154</Paragraphs>
  <Company>ET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2011-04-06T12:57:00Z</dcterms:created>
  <dc:creator>Elena </dc:creator>
  <dc:description/>
  <dc:language>en-US</dc:language>
  <cp:lastModifiedBy>Admin</cp:lastModifiedBy>
  <dcterms:modified xsi:type="dcterms:W3CDTF">2014-11-18T15:26:00Z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221046</vt:lpwstr>
  </property>
  <property fmtid="{D5CDD505-2E9C-101B-9397-08002B2CF9AE}" name="NXPowerLiteSettings" pid="3">
    <vt:lpwstr>F7000400038000</vt:lpwstr>
  </property>
  <property fmtid="{D5CDD505-2E9C-101B-9397-08002B2CF9AE}" name="NXPowerLiteVersion" pid="4">
    <vt:lpwstr>D7.0.1</vt:lpwstr>
  </property>
</Properties>
</file>